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VOTO PARTICULAR DEL COMISIONADO JOSÉ GUADA</w:t>
      </w:r>
      <w:r w:rsidR="00D72985" w:rsidRPr="0048616B">
        <w:rPr>
          <w:rFonts w:ascii="Palatino Linotype" w:hAnsi="Palatino Linotype" w:cs="Arial"/>
          <w:b/>
          <w:sz w:val="24"/>
          <w:szCs w:val="24"/>
        </w:rPr>
        <w:t>LUPE LUNA HERNÁNDEZ DEL RECURSO</w:t>
      </w:r>
      <w:r w:rsidR="00BF3534" w:rsidRPr="0048616B">
        <w:rPr>
          <w:rFonts w:ascii="Palatino Linotype" w:hAnsi="Palatino Linotype" w:cs="Arial"/>
          <w:b/>
          <w:sz w:val="24"/>
          <w:szCs w:val="24"/>
        </w:rPr>
        <w:t xml:space="preserve"> DE REVISIÓN </w:t>
      </w:r>
      <w:r w:rsidR="00BA3743" w:rsidRPr="0048616B">
        <w:rPr>
          <w:rFonts w:ascii="Palatino Linotype" w:hAnsi="Palatino Linotype" w:cs="Arial"/>
          <w:b/>
          <w:sz w:val="24"/>
          <w:szCs w:val="24"/>
        </w:rPr>
        <w:t>0</w:t>
      </w:r>
      <w:r w:rsidR="0048616B" w:rsidRPr="0048616B">
        <w:rPr>
          <w:rFonts w:ascii="Palatino Linotype" w:hAnsi="Palatino Linotype" w:cs="Arial"/>
          <w:b/>
          <w:sz w:val="24"/>
          <w:szCs w:val="24"/>
        </w:rPr>
        <w:t>4359</w:t>
      </w:r>
      <w:r w:rsidR="00C7250F" w:rsidRPr="0048616B">
        <w:rPr>
          <w:rFonts w:ascii="Palatino Linotype" w:hAnsi="Palatino Linotype" w:cs="Arial"/>
          <w:b/>
          <w:sz w:val="24"/>
          <w:szCs w:val="24"/>
        </w:rPr>
        <w:t>/INFOEM/IP/RR/2018</w:t>
      </w:r>
      <w:r w:rsidR="0000525F" w:rsidRPr="0048616B">
        <w:rPr>
          <w:rFonts w:ascii="Palatino Linotype" w:hAnsi="Palatino Linotype" w:cs="Arial"/>
          <w:b/>
          <w:sz w:val="24"/>
          <w:szCs w:val="24"/>
        </w:rPr>
        <w:t>.</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b/>
          <w:sz w:val="24"/>
          <w:szCs w:val="24"/>
        </w:rPr>
      </w:pPr>
      <w:r w:rsidRPr="0048616B">
        <w:rPr>
          <w:rFonts w:ascii="Palatino Linotype" w:hAnsi="Palatino Linotype" w:cs="Arial"/>
          <w:b/>
          <w:sz w:val="24"/>
          <w:szCs w:val="24"/>
        </w:rPr>
        <w:t>Líneas argumentativas:</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48616B" w:rsidRDefault="00902248"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La figura de actos consentidos no debe ser invocada en el derecho humano fundamental de acceder a la información pública gubernamental.</w:t>
      </w:r>
    </w:p>
    <w:p w:rsidR="0001046D" w:rsidRPr="0048616B" w:rsidRDefault="0001046D"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48616B" w:rsidRDefault="0046491C" w:rsidP="0048616B">
      <w:pPr>
        <w:spacing w:after="0" w:line="360" w:lineRule="auto"/>
        <w:jc w:val="both"/>
        <w:rPr>
          <w:rFonts w:ascii="Palatino Linotype" w:hAnsi="Palatino Linotype" w:cs="Arial"/>
          <w:sz w:val="24"/>
          <w:szCs w:val="24"/>
        </w:rPr>
      </w:pPr>
    </w:p>
    <w:p w:rsidR="003C7244"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sz w:val="24"/>
          <w:szCs w:val="24"/>
        </w:rPr>
        <w:t xml:space="preserve">Lo que este Órgano Garante realice en materia de suplencia de la queja no afecta la </w:t>
      </w:r>
      <w:proofErr w:type="gramStart"/>
      <w:r w:rsidRPr="0048616B">
        <w:rPr>
          <w:rFonts w:ascii="Palatino Linotype" w:hAnsi="Palatino Linotype" w:cs="Arial"/>
          <w:sz w:val="24"/>
          <w:szCs w:val="24"/>
        </w:rPr>
        <w:t>igualdad</w:t>
      </w:r>
      <w:proofErr w:type="gramEnd"/>
      <w:r w:rsidRPr="0048616B">
        <w:rPr>
          <w:rFonts w:ascii="Palatino Linotype" w:hAnsi="Palatino Linotype" w:cs="Arial"/>
          <w:sz w:val="24"/>
          <w:szCs w:val="24"/>
        </w:rPr>
        <w:t xml:space="preserve"> de las partes sino procura el cumplimiento de los deberes de protección del derecho humano.</w:t>
      </w:r>
      <w:r w:rsidR="00DA52E0" w:rsidRPr="0048616B">
        <w:rPr>
          <w:rFonts w:ascii="Palatino Linotype" w:hAnsi="Palatino Linotype" w:cs="Arial"/>
          <w:sz w:val="24"/>
          <w:szCs w:val="24"/>
        </w:rPr>
        <w:t xml:space="preserve">; además </w:t>
      </w:r>
      <w:r w:rsidRPr="0048616B">
        <w:rPr>
          <w:rFonts w:ascii="Palatino Linotype" w:hAnsi="Palatino Linotype" w:cs="Arial"/>
          <w:sz w:val="24"/>
          <w:szCs w:val="24"/>
        </w:rPr>
        <w:t>tienen el deber que tienen dentro del margen de sus atribuciones, de prevenir violaciones a los derechos fundamentales.</w:t>
      </w:r>
    </w:p>
    <w:p w:rsidR="003C7244" w:rsidRPr="0048616B" w:rsidRDefault="003C7244" w:rsidP="0048616B">
      <w:pPr>
        <w:spacing w:after="0" w:line="360" w:lineRule="auto"/>
        <w:jc w:val="both"/>
        <w:rPr>
          <w:rFonts w:ascii="Palatino Linotype" w:hAnsi="Palatino Linotype" w:cs="Arial"/>
          <w:sz w:val="24"/>
          <w:szCs w:val="24"/>
        </w:rPr>
      </w:pPr>
    </w:p>
    <w:p w:rsidR="002C0734" w:rsidRPr="0048616B" w:rsidRDefault="002C0734"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DC63EE" w:rsidRPr="0048616B" w:rsidRDefault="00DC63EE" w:rsidP="0048616B">
      <w:pPr>
        <w:spacing w:after="0" w:line="360" w:lineRule="auto"/>
        <w:jc w:val="both"/>
        <w:rPr>
          <w:rFonts w:ascii="Palatino Linotype" w:hAnsi="Palatino Linotype" w:cs="Arial"/>
          <w:sz w:val="24"/>
          <w:szCs w:val="24"/>
        </w:rPr>
      </w:pPr>
    </w:p>
    <w:p w:rsidR="0046491C" w:rsidRPr="0048616B" w:rsidRDefault="0046491C" w:rsidP="0048616B">
      <w:pPr>
        <w:spacing w:after="0" w:line="360" w:lineRule="auto"/>
        <w:jc w:val="both"/>
        <w:rPr>
          <w:rFonts w:ascii="Palatino Linotype" w:hAnsi="Palatino Linotype" w:cs="Arial"/>
          <w:sz w:val="24"/>
          <w:szCs w:val="24"/>
        </w:rPr>
      </w:pPr>
      <w:r w:rsidRPr="0048616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48616B" w:rsidRDefault="0046491C" w:rsidP="0048616B">
          <w:pPr>
            <w:pStyle w:val="TtulodeTDC"/>
            <w:spacing w:before="0" w:line="360" w:lineRule="auto"/>
            <w:rPr>
              <w:rFonts w:ascii="Palatino Linotype" w:hAnsi="Palatino Linotype"/>
              <w:sz w:val="24"/>
              <w:szCs w:val="24"/>
            </w:rPr>
          </w:pPr>
        </w:p>
        <w:p w:rsidR="00C40065" w:rsidRPr="0048616B" w:rsidRDefault="0046491C" w:rsidP="0048616B">
          <w:pPr>
            <w:pStyle w:val="TDC1"/>
            <w:spacing w:after="0" w:line="360" w:lineRule="auto"/>
            <w:rPr>
              <w:rFonts w:ascii="Palatino Linotype" w:eastAsiaTheme="minorEastAsia" w:hAnsi="Palatino Linotype"/>
              <w:noProof/>
              <w:sz w:val="24"/>
              <w:szCs w:val="24"/>
              <w:lang w:eastAsia="es-MX"/>
            </w:rPr>
          </w:pPr>
          <w:r w:rsidRPr="0048616B">
            <w:rPr>
              <w:rFonts w:ascii="Palatino Linotype" w:hAnsi="Palatino Linotype"/>
              <w:sz w:val="24"/>
              <w:szCs w:val="24"/>
            </w:rPr>
            <w:fldChar w:fldCharType="begin"/>
          </w:r>
          <w:r w:rsidRPr="0048616B">
            <w:rPr>
              <w:rFonts w:ascii="Palatino Linotype" w:hAnsi="Palatino Linotype"/>
              <w:sz w:val="24"/>
              <w:szCs w:val="24"/>
            </w:rPr>
            <w:instrText xml:space="preserve"> TOC \o "1-3" \h \z \u </w:instrText>
          </w:r>
          <w:r w:rsidRPr="0048616B">
            <w:rPr>
              <w:rFonts w:ascii="Palatino Linotype" w:hAnsi="Palatino Linotype"/>
              <w:sz w:val="24"/>
              <w:szCs w:val="24"/>
            </w:rPr>
            <w:fldChar w:fldCharType="separate"/>
          </w:r>
          <w:hyperlink w:anchor="_Toc526153518" w:history="1">
            <w:r w:rsidR="00C40065" w:rsidRPr="0048616B">
              <w:rPr>
                <w:rStyle w:val="Hipervnculo"/>
                <w:rFonts w:ascii="Palatino Linotype" w:hAnsi="Palatino Linotype"/>
                <w:b/>
                <w:noProof/>
                <w:sz w:val="24"/>
                <w:szCs w:val="24"/>
              </w:rPr>
              <w:t>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Consideraciones Generales.</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_Toc526153518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CC7974">
              <w:rPr>
                <w:rFonts w:ascii="Palatino Linotype" w:hAnsi="Palatino Linotype"/>
                <w:noProof/>
                <w:webHidden/>
                <w:sz w:val="24"/>
                <w:szCs w:val="24"/>
              </w:rPr>
              <w:t>3</w:t>
            </w:r>
            <w:r w:rsidR="00C40065" w:rsidRPr="0048616B">
              <w:rPr>
                <w:rFonts w:ascii="Palatino Linotype" w:hAnsi="Palatino Linotype"/>
                <w:noProof/>
                <w:webHidden/>
                <w:sz w:val="24"/>
                <w:szCs w:val="24"/>
              </w:rPr>
              <w:fldChar w:fldCharType="end"/>
            </w:r>
          </w:hyperlink>
        </w:p>
        <w:p w:rsidR="00C40065" w:rsidRPr="0048616B" w:rsidRDefault="002A4190" w:rsidP="0048616B">
          <w:pPr>
            <w:pStyle w:val="TDC1"/>
            <w:spacing w:after="0" w:line="360" w:lineRule="auto"/>
            <w:rPr>
              <w:rFonts w:ascii="Palatino Linotype" w:eastAsiaTheme="minorEastAsia" w:hAnsi="Palatino Linotype"/>
              <w:noProof/>
              <w:sz w:val="24"/>
              <w:szCs w:val="24"/>
              <w:lang w:eastAsia="es-MX"/>
            </w:rPr>
          </w:pPr>
          <w:hyperlink w:anchor="_Toc526153519" w:history="1">
            <w:r w:rsidR="00C40065" w:rsidRPr="0048616B">
              <w:rPr>
                <w:rStyle w:val="Hipervnculo"/>
                <w:rFonts w:ascii="Palatino Linotype" w:hAnsi="Palatino Linotype"/>
                <w:b/>
                <w:noProof/>
                <w:sz w:val="24"/>
                <w:szCs w:val="24"/>
              </w:rPr>
              <w:t>II.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De los requerimientos planteados en el recurso de revisión.</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_Toc526153519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CC7974">
              <w:rPr>
                <w:rFonts w:ascii="Palatino Linotype" w:hAnsi="Palatino Linotype"/>
                <w:noProof/>
                <w:webHidden/>
                <w:sz w:val="24"/>
                <w:szCs w:val="24"/>
              </w:rPr>
              <w:t>4</w:t>
            </w:r>
            <w:r w:rsidR="00C40065" w:rsidRPr="0048616B">
              <w:rPr>
                <w:rFonts w:ascii="Palatino Linotype" w:hAnsi="Palatino Linotype"/>
                <w:noProof/>
                <w:webHidden/>
                <w:sz w:val="24"/>
                <w:szCs w:val="24"/>
              </w:rPr>
              <w:fldChar w:fldCharType="end"/>
            </w:r>
          </w:hyperlink>
        </w:p>
        <w:p w:rsidR="00C40065" w:rsidRPr="0048616B" w:rsidRDefault="002A4190" w:rsidP="0048616B">
          <w:pPr>
            <w:pStyle w:val="TDC1"/>
            <w:spacing w:after="0" w:line="360" w:lineRule="auto"/>
            <w:rPr>
              <w:rFonts w:ascii="Palatino Linotype" w:eastAsiaTheme="minorEastAsia" w:hAnsi="Palatino Linotype"/>
              <w:noProof/>
              <w:sz w:val="24"/>
              <w:szCs w:val="24"/>
              <w:lang w:eastAsia="es-MX"/>
            </w:rPr>
          </w:pPr>
          <w:hyperlink w:anchor="_Toc526153520" w:history="1">
            <w:r w:rsidR="00C40065" w:rsidRPr="0048616B">
              <w:rPr>
                <w:rStyle w:val="Hipervnculo"/>
                <w:rFonts w:ascii="Palatino Linotype" w:hAnsi="Palatino Linotype"/>
                <w:b/>
                <w:noProof/>
                <w:sz w:val="24"/>
                <w:szCs w:val="24"/>
              </w:rPr>
              <w:t>III.</w:t>
            </w:r>
            <w:r w:rsidR="00C40065" w:rsidRPr="0048616B">
              <w:rPr>
                <w:rFonts w:ascii="Palatino Linotype" w:eastAsiaTheme="minorEastAsia" w:hAnsi="Palatino Linotype"/>
                <w:noProof/>
                <w:sz w:val="24"/>
                <w:szCs w:val="24"/>
                <w:lang w:eastAsia="es-MX"/>
              </w:rPr>
              <w:tab/>
            </w:r>
            <w:r w:rsidR="00C40065" w:rsidRPr="0048616B">
              <w:rPr>
                <w:rStyle w:val="Hipervnculo"/>
                <w:rFonts w:ascii="Palatino Linotype" w:hAnsi="Palatino Linotype"/>
                <w:b/>
                <w:noProof/>
                <w:sz w:val="24"/>
                <w:szCs w:val="24"/>
              </w:rPr>
              <w:t>Los actos consentidos no deben invocarse en el derecho fundamental de acceder a la información pública gubernamental.</w:t>
            </w:r>
            <w:r w:rsidR="00C40065" w:rsidRPr="0048616B">
              <w:rPr>
                <w:rFonts w:ascii="Palatino Linotype" w:hAnsi="Palatino Linotype"/>
                <w:noProof/>
                <w:webHidden/>
                <w:sz w:val="24"/>
                <w:szCs w:val="24"/>
              </w:rPr>
              <w:tab/>
            </w:r>
            <w:r w:rsidR="00C40065" w:rsidRPr="0048616B">
              <w:rPr>
                <w:rFonts w:ascii="Palatino Linotype" w:hAnsi="Palatino Linotype"/>
                <w:noProof/>
                <w:webHidden/>
                <w:sz w:val="24"/>
                <w:szCs w:val="24"/>
              </w:rPr>
              <w:fldChar w:fldCharType="begin"/>
            </w:r>
            <w:r w:rsidR="00C40065" w:rsidRPr="0048616B">
              <w:rPr>
                <w:rFonts w:ascii="Palatino Linotype" w:hAnsi="Palatino Linotype"/>
                <w:noProof/>
                <w:webHidden/>
                <w:sz w:val="24"/>
                <w:szCs w:val="24"/>
              </w:rPr>
              <w:instrText xml:space="preserve"> PAGEREF _Toc526153520 \h </w:instrText>
            </w:r>
            <w:r w:rsidR="00C40065" w:rsidRPr="0048616B">
              <w:rPr>
                <w:rFonts w:ascii="Palatino Linotype" w:hAnsi="Palatino Linotype"/>
                <w:noProof/>
                <w:webHidden/>
                <w:sz w:val="24"/>
                <w:szCs w:val="24"/>
              </w:rPr>
            </w:r>
            <w:r w:rsidR="00C40065" w:rsidRPr="0048616B">
              <w:rPr>
                <w:rFonts w:ascii="Palatino Linotype" w:hAnsi="Palatino Linotype"/>
                <w:noProof/>
                <w:webHidden/>
                <w:sz w:val="24"/>
                <w:szCs w:val="24"/>
              </w:rPr>
              <w:fldChar w:fldCharType="separate"/>
            </w:r>
            <w:r w:rsidR="00CC7974">
              <w:rPr>
                <w:rFonts w:ascii="Palatino Linotype" w:hAnsi="Palatino Linotype"/>
                <w:noProof/>
                <w:webHidden/>
                <w:sz w:val="24"/>
                <w:szCs w:val="24"/>
              </w:rPr>
              <w:t>9</w:t>
            </w:r>
            <w:r w:rsidR="00C40065" w:rsidRPr="0048616B">
              <w:rPr>
                <w:rFonts w:ascii="Palatino Linotype" w:hAnsi="Palatino Linotype"/>
                <w:noProof/>
                <w:webHidden/>
                <w:sz w:val="24"/>
                <w:szCs w:val="24"/>
              </w:rPr>
              <w:fldChar w:fldCharType="end"/>
            </w:r>
          </w:hyperlink>
        </w:p>
        <w:p w:rsidR="00072966" w:rsidRPr="0048616B" w:rsidRDefault="00B31A3C" w:rsidP="0048616B">
          <w:pPr>
            <w:spacing w:after="0"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62864</wp:posOffset>
                    </wp:positionH>
                    <wp:positionV relativeFrom="paragraph">
                      <wp:posOffset>106679</wp:posOffset>
                    </wp:positionV>
                    <wp:extent cx="5648325" cy="5057775"/>
                    <wp:effectExtent l="19050" t="19050" r="28575" b="28575"/>
                    <wp:wrapNone/>
                    <wp:docPr id="1" name="Conector recto 1"/>
                    <wp:cNvGraphicFramePr/>
                    <a:graphic xmlns:a="http://schemas.openxmlformats.org/drawingml/2006/main">
                      <a:graphicData uri="http://schemas.microsoft.com/office/word/2010/wordprocessingShape">
                        <wps:wsp>
                          <wps:cNvCnPr/>
                          <wps:spPr>
                            <a:xfrm flipH="1" flipV="1">
                              <a:off x="0" y="0"/>
                              <a:ext cx="5648325" cy="5057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66022"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4pt" to="449.7pt,4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" strokecolor="#5b9bd5 [3204]" strokeweight="3pt">
                    <v:stroke joinstyle="miter"/>
                  </v:line>
                </w:pict>
              </mc:Fallback>
            </mc:AlternateContent>
          </w:r>
          <w:r w:rsidR="0046491C" w:rsidRPr="0048616B">
            <w:rPr>
              <w:rFonts w:ascii="Palatino Linotype" w:hAnsi="Palatino Linotype"/>
              <w:b/>
              <w:bCs/>
              <w:sz w:val="24"/>
              <w:szCs w:val="24"/>
              <w:lang w:val="es-ES"/>
            </w:rPr>
            <w:fldChar w:fldCharType="end"/>
          </w:r>
        </w:p>
      </w:sdtContent>
    </w:sdt>
    <w:p w:rsidR="003C7244" w:rsidRPr="0048616B" w:rsidRDefault="003C7244" w:rsidP="0048616B">
      <w:pPr>
        <w:spacing w:after="0" w:line="360" w:lineRule="auto"/>
        <w:rPr>
          <w:rFonts w:ascii="Palatino Linotype" w:hAnsi="Palatino Linotype"/>
          <w:sz w:val="24"/>
          <w:szCs w:val="24"/>
        </w:rPr>
      </w:pPr>
    </w:p>
    <w:p w:rsidR="007879C6" w:rsidRPr="0048616B" w:rsidRDefault="007879C6" w:rsidP="0048616B">
      <w:pPr>
        <w:spacing w:after="0" w:line="360" w:lineRule="auto"/>
        <w:rPr>
          <w:rFonts w:ascii="Palatino Linotype" w:hAnsi="Palatino Linotype"/>
          <w:sz w:val="24"/>
          <w:szCs w:val="24"/>
        </w:rPr>
      </w:pPr>
    </w:p>
    <w:p w:rsidR="007879C6" w:rsidRPr="0048616B" w:rsidRDefault="007879C6" w:rsidP="0048616B">
      <w:pPr>
        <w:spacing w:after="0" w:line="360" w:lineRule="auto"/>
        <w:rPr>
          <w:rFonts w:ascii="Palatino Linotype" w:hAnsi="Palatino Linotype"/>
          <w:sz w:val="24"/>
          <w:szCs w:val="24"/>
        </w:rPr>
      </w:pPr>
    </w:p>
    <w:p w:rsidR="007879C6" w:rsidRPr="0048616B" w:rsidRDefault="007879C6" w:rsidP="0048616B">
      <w:pPr>
        <w:spacing w:after="0" w:line="360" w:lineRule="auto"/>
        <w:rPr>
          <w:rFonts w:ascii="Palatino Linotype" w:hAnsi="Palatino Linotype"/>
          <w:sz w:val="24"/>
          <w:szCs w:val="24"/>
        </w:rPr>
      </w:pPr>
    </w:p>
    <w:p w:rsidR="007879C6" w:rsidRPr="0048616B" w:rsidRDefault="007879C6" w:rsidP="0048616B">
      <w:pPr>
        <w:spacing w:after="0" w:line="360" w:lineRule="auto"/>
        <w:rPr>
          <w:rFonts w:ascii="Palatino Linotype" w:hAnsi="Palatino Linotype"/>
          <w:sz w:val="24"/>
          <w:szCs w:val="24"/>
        </w:rPr>
      </w:pPr>
    </w:p>
    <w:p w:rsidR="003C7244" w:rsidRPr="0048616B" w:rsidRDefault="003C7244" w:rsidP="0048616B">
      <w:pPr>
        <w:spacing w:after="0" w:line="360" w:lineRule="auto"/>
        <w:rPr>
          <w:rFonts w:ascii="Palatino Linotype" w:hAnsi="Palatino Linotype"/>
          <w:sz w:val="24"/>
          <w:szCs w:val="24"/>
        </w:rPr>
      </w:pPr>
    </w:p>
    <w:p w:rsidR="003C7244" w:rsidRPr="0048616B" w:rsidRDefault="003C7244" w:rsidP="0048616B">
      <w:pPr>
        <w:spacing w:after="0" w:line="360" w:lineRule="auto"/>
        <w:rPr>
          <w:rFonts w:ascii="Palatino Linotype" w:hAnsi="Palatino Linotype"/>
          <w:sz w:val="24"/>
          <w:szCs w:val="24"/>
        </w:rPr>
      </w:pPr>
    </w:p>
    <w:p w:rsidR="003C7244" w:rsidRPr="0048616B" w:rsidRDefault="003C7244" w:rsidP="0048616B">
      <w:pPr>
        <w:spacing w:after="0" w:line="360" w:lineRule="auto"/>
        <w:rPr>
          <w:rFonts w:ascii="Palatino Linotype" w:hAnsi="Palatino Linotype"/>
          <w:sz w:val="24"/>
          <w:szCs w:val="24"/>
        </w:rPr>
      </w:pPr>
    </w:p>
    <w:p w:rsidR="003C7244" w:rsidRDefault="003C7244" w:rsidP="0048616B">
      <w:pPr>
        <w:spacing w:after="0" w:line="360" w:lineRule="auto"/>
        <w:rPr>
          <w:rFonts w:ascii="Palatino Linotype" w:hAnsi="Palatino Linotype"/>
          <w:sz w:val="24"/>
          <w:szCs w:val="24"/>
        </w:rPr>
      </w:pPr>
    </w:p>
    <w:p w:rsidR="0048616B" w:rsidRDefault="0048616B" w:rsidP="0048616B">
      <w:pPr>
        <w:spacing w:after="0" w:line="360" w:lineRule="auto"/>
        <w:rPr>
          <w:rFonts w:ascii="Palatino Linotype" w:hAnsi="Palatino Linotype"/>
          <w:sz w:val="24"/>
          <w:szCs w:val="24"/>
        </w:rPr>
      </w:pPr>
    </w:p>
    <w:p w:rsidR="0048616B" w:rsidRDefault="0048616B" w:rsidP="0048616B">
      <w:pPr>
        <w:spacing w:after="0" w:line="360" w:lineRule="auto"/>
        <w:rPr>
          <w:rFonts w:ascii="Palatino Linotype" w:hAnsi="Palatino Linotype"/>
          <w:sz w:val="24"/>
          <w:szCs w:val="24"/>
        </w:rPr>
      </w:pPr>
    </w:p>
    <w:p w:rsidR="0048616B" w:rsidRDefault="0048616B" w:rsidP="0048616B">
      <w:pPr>
        <w:spacing w:after="0" w:line="360" w:lineRule="auto"/>
        <w:rPr>
          <w:rFonts w:ascii="Palatino Linotype" w:hAnsi="Palatino Linotype"/>
          <w:sz w:val="24"/>
          <w:szCs w:val="24"/>
        </w:rPr>
      </w:pPr>
    </w:p>
    <w:p w:rsidR="0048616B" w:rsidRPr="0048616B" w:rsidRDefault="0048616B" w:rsidP="0048616B">
      <w:pPr>
        <w:spacing w:after="0" w:line="360" w:lineRule="auto"/>
        <w:rPr>
          <w:rFonts w:ascii="Palatino Linotype" w:hAnsi="Palatino Linotype"/>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0" w:name="_Toc526153518"/>
      <w:r w:rsidRPr="0048616B">
        <w:rPr>
          <w:rFonts w:ascii="Palatino Linotype" w:hAnsi="Palatino Linotype"/>
          <w:b/>
          <w:color w:val="auto"/>
          <w:sz w:val="24"/>
          <w:szCs w:val="24"/>
        </w:rPr>
        <w:lastRenderedPageBreak/>
        <w:t>Consideraciones Generales.</w:t>
      </w:r>
      <w:bookmarkEnd w:id="0"/>
    </w:p>
    <w:p w:rsidR="0046491C" w:rsidRPr="0048616B" w:rsidRDefault="0046491C" w:rsidP="0048616B">
      <w:pPr>
        <w:pStyle w:val="Prrafodelista"/>
        <w:spacing w:after="0" w:line="360" w:lineRule="auto"/>
        <w:ind w:left="1080"/>
        <w:jc w:val="both"/>
        <w:rPr>
          <w:rFonts w:ascii="Palatino Linotype" w:hAnsi="Palatino Linotype" w:cs="Arial"/>
          <w:b/>
          <w:sz w:val="24"/>
          <w:szCs w:val="24"/>
        </w:rPr>
      </w:pPr>
    </w:p>
    <w:p w:rsidR="0046491C" w:rsidRPr="0048616B" w:rsidRDefault="0046491C" w:rsidP="00B31A3C">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eastAsia="Times New Roman" w:hAnsi="Palatino Linotype" w:cs="Arial"/>
          <w:sz w:val="24"/>
          <w:szCs w:val="24"/>
          <w:lang w:val="es-ES_tradnl"/>
        </w:rPr>
        <w:t xml:space="preserve">He concurrido con mi </w:t>
      </w:r>
      <w:r w:rsidR="00D33AF9" w:rsidRPr="0048616B">
        <w:rPr>
          <w:rFonts w:ascii="Palatino Linotype" w:eastAsia="Times New Roman" w:hAnsi="Palatino Linotype" w:cs="Arial"/>
          <w:sz w:val="24"/>
          <w:szCs w:val="24"/>
          <w:lang w:val="es-ES_tradnl"/>
        </w:rPr>
        <w:t>voto</w:t>
      </w:r>
      <w:r w:rsidRPr="0048616B">
        <w:rPr>
          <w:rFonts w:ascii="Palatino Linotype" w:eastAsia="Times New Roman" w:hAnsi="Palatino Linotype" w:cs="Arial"/>
          <w:sz w:val="24"/>
          <w:szCs w:val="24"/>
          <w:lang w:val="es-ES_tradnl"/>
        </w:rPr>
        <w:t xml:space="preserve"> particular de la presente resolución emitida </w:t>
      </w:r>
      <w:r w:rsidRPr="0048616B">
        <w:rPr>
          <w:rFonts w:ascii="Palatino Linotype" w:hAnsi="Palatino Linotype" w:cs="Arial"/>
          <w:sz w:val="24"/>
          <w:szCs w:val="24"/>
        </w:rPr>
        <w:t>por el Pleno del Instituto de Transparencia, Acceso a la Información Pública y Protección de Datos Personales del Estado de Méxi</w:t>
      </w:r>
      <w:r w:rsidR="002C1F75" w:rsidRPr="0048616B">
        <w:rPr>
          <w:rFonts w:ascii="Palatino Linotype" w:hAnsi="Palatino Linotype" w:cs="Arial"/>
          <w:sz w:val="24"/>
          <w:szCs w:val="24"/>
        </w:rPr>
        <w:t xml:space="preserve">co y Municipios, en su </w:t>
      </w:r>
      <w:r w:rsidR="0048616B">
        <w:rPr>
          <w:rFonts w:ascii="Palatino Linotype" w:hAnsi="Palatino Linotype" w:cs="Arial"/>
          <w:sz w:val="24"/>
          <w:szCs w:val="24"/>
        </w:rPr>
        <w:t>Sexta</w:t>
      </w:r>
      <w:r w:rsidR="00BA3743" w:rsidRPr="0048616B">
        <w:rPr>
          <w:rFonts w:ascii="Palatino Linotype" w:hAnsi="Palatino Linotype" w:cs="Arial"/>
          <w:sz w:val="24"/>
          <w:szCs w:val="24"/>
        </w:rPr>
        <w:t xml:space="preserve"> </w:t>
      </w:r>
      <w:r w:rsidRPr="0048616B">
        <w:rPr>
          <w:rFonts w:ascii="Palatino Linotype" w:hAnsi="Palatino Linotype" w:cs="Arial"/>
          <w:sz w:val="24"/>
          <w:szCs w:val="24"/>
        </w:rPr>
        <w:t xml:space="preserve">sesión ordinaria </w:t>
      </w:r>
      <w:r w:rsidR="00C7250F" w:rsidRPr="0048616B">
        <w:rPr>
          <w:rFonts w:ascii="Palatino Linotype" w:hAnsi="Palatino Linotype" w:cs="Arial"/>
          <w:sz w:val="24"/>
          <w:szCs w:val="24"/>
        </w:rPr>
        <w:t xml:space="preserve">de fecha </w:t>
      </w:r>
      <w:r w:rsidR="0048616B">
        <w:rPr>
          <w:rFonts w:ascii="Palatino Linotype" w:hAnsi="Palatino Linotype" w:cs="Arial"/>
          <w:sz w:val="24"/>
          <w:szCs w:val="24"/>
        </w:rPr>
        <w:t xml:space="preserve">trece </w:t>
      </w:r>
      <w:r w:rsidR="00BE66A6" w:rsidRPr="0048616B">
        <w:rPr>
          <w:rFonts w:ascii="Palatino Linotype" w:hAnsi="Palatino Linotype" w:cs="Arial"/>
          <w:sz w:val="24"/>
          <w:szCs w:val="24"/>
        </w:rPr>
        <w:t>(1</w:t>
      </w:r>
      <w:r w:rsidR="0048616B">
        <w:rPr>
          <w:rFonts w:ascii="Palatino Linotype" w:hAnsi="Palatino Linotype" w:cs="Arial"/>
          <w:sz w:val="24"/>
          <w:szCs w:val="24"/>
        </w:rPr>
        <w:t>3</w:t>
      </w:r>
      <w:r w:rsidR="00BE66A6" w:rsidRPr="0048616B">
        <w:rPr>
          <w:rFonts w:ascii="Palatino Linotype" w:hAnsi="Palatino Linotype" w:cs="Arial"/>
          <w:sz w:val="24"/>
          <w:szCs w:val="24"/>
        </w:rPr>
        <w:t xml:space="preserve">) de </w:t>
      </w:r>
      <w:r w:rsidR="0048616B">
        <w:rPr>
          <w:rFonts w:ascii="Palatino Linotype" w:hAnsi="Palatino Linotype" w:cs="Arial"/>
          <w:sz w:val="24"/>
          <w:szCs w:val="24"/>
        </w:rPr>
        <w:t>febrero</w:t>
      </w:r>
      <w:r w:rsidR="00BE66A6" w:rsidRPr="0048616B">
        <w:rPr>
          <w:rFonts w:ascii="Palatino Linotype" w:hAnsi="Palatino Linotype" w:cs="Arial"/>
          <w:sz w:val="24"/>
          <w:szCs w:val="24"/>
        </w:rPr>
        <w:t xml:space="preserve"> </w:t>
      </w:r>
      <w:r w:rsidR="00F86F9B" w:rsidRPr="0048616B">
        <w:rPr>
          <w:rFonts w:ascii="Palatino Linotype" w:hAnsi="Palatino Linotype" w:cs="Arial"/>
          <w:sz w:val="24"/>
          <w:szCs w:val="24"/>
        </w:rPr>
        <w:t xml:space="preserve"> </w:t>
      </w:r>
      <w:r w:rsidR="0048616B">
        <w:rPr>
          <w:rFonts w:ascii="Palatino Linotype" w:hAnsi="Palatino Linotype" w:cs="Arial"/>
          <w:sz w:val="24"/>
          <w:szCs w:val="24"/>
        </w:rPr>
        <w:t>de dos mil diecinueve</w:t>
      </w:r>
      <w:r w:rsidRPr="0048616B">
        <w:rPr>
          <w:rFonts w:ascii="Palatino Linotype" w:hAnsi="Palatino Linotype" w:cs="Arial"/>
          <w:sz w:val="24"/>
          <w:szCs w:val="24"/>
        </w:rPr>
        <w:t xml:space="preserve"> en el recurso</w:t>
      </w:r>
      <w:r w:rsidR="002C1F75" w:rsidRPr="0048616B">
        <w:rPr>
          <w:rFonts w:ascii="Palatino Linotype" w:hAnsi="Palatino Linotype" w:cs="Arial"/>
          <w:sz w:val="24"/>
          <w:szCs w:val="24"/>
        </w:rPr>
        <w:t xml:space="preserve"> de revisión promovido</w:t>
      </w:r>
      <w:r w:rsidRPr="0048616B">
        <w:rPr>
          <w:rFonts w:ascii="Palatino Linotype" w:hAnsi="Palatino Linotype" w:cs="Arial"/>
          <w:sz w:val="24"/>
          <w:szCs w:val="24"/>
        </w:rPr>
        <w:t xml:space="preserve"> por</w:t>
      </w:r>
      <w:r w:rsidRPr="0048616B">
        <w:rPr>
          <w:rFonts w:ascii="Palatino Linotype" w:hAnsi="Palatino Linotype" w:cs="Arial"/>
          <w:b/>
          <w:sz w:val="24"/>
          <w:szCs w:val="24"/>
        </w:rPr>
        <w:t xml:space="preserve"> </w:t>
      </w:r>
      <w:r w:rsidR="00556B00" w:rsidRPr="00556B00">
        <w:rPr>
          <w:rFonts w:ascii="Palatino Linotype" w:hAnsi="Palatino Linotype" w:cs="Arial"/>
          <w:b/>
          <w:sz w:val="24"/>
          <w:szCs w:val="24"/>
          <w:highlight w:val="black"/>
        </w:rPr>
        <w:t>-----------------------</w:t>
      </w:r>
      <w:r w:rsidRPr="0048616B">
        <w:rPr>
          <w:rFonts w:ascii="Palatino Linotype" w:hAnsi="Palatino Linotype" w:cs="Arial"/>
          <w:sz w:val="24"/>
          <w:szCs w:val="24"/>
        </w:rPr>
        <w:t>,</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en contra de la respuesta del </w:t>
      </w:r>
      <w:r w:rsidR="00BE66A6" w:rsidRPr="0048616B">
        <w:rPr>
          <w:rFonts w:ascii="Palatino Linotype" w:eastAsia="Calibri" w:hAnsi="Palatino Linotype" w:cs="Times New Roman"/>
          <w:b/>
          <w:sz w:val="24"/>
          <w:szCs w:val="24"/>
          <w:lang w:eastAsia="es-ES"/>
        </w:rPr>
        <w:t>Ayu</w:t>
      </w:r>
      <w:r w:rsidR="0048616B">
        <w:rPr>
          <w:rFonts w:ascii="Palatino Linotype" w:eastAsia="Calibri" w:hAnsi="Palatino Linotype" w:cs="Times New Roman"/>
          <w:b/>
          <w:sz w:val="24"/>
          <w:szCs w:val="24"/>
          <w:lang w:eastAsia="es-ES"/>
        </w:rPr>
        <w:t>ntamiento de Tecámac</w:t>
      </w:r>
      <w:r w:rsidR="00BE66A6" w:rsidRPr="0048616B">
        <w:rPr>
          <w:rFonts w:ascii="Palatino Linotype" w:eastAsia="Calibri" w:hAnsi="Palatino Linotype" w:cs="Times New Roman"/>
          <w:b/>
          <w:sz w:val="24"/>
          <w:szCs w:val="24"/>
          <w:lang w:eastAsia="es-ES"/>
        </w:rPr>
        <w:t xml:space="preserve"> </w:t>
      </w:r>
      <w:r w:rsidRPr="0048616B">
        <w:rPr>
          <w:rFonts w:ascii="Palatino Linotype" w:hAnsi="Palatino Linotype" w:cs="Arial"/>
          <w:sz w:val="24"/>
          <w:szCs w:val="24"/>
        </w:rPr>
        <w:t>procedimiento a</w:t>
      </w:r>
      <w:r w:rsidR="0000525F" w:rsidRPr="0048616B">
        <w:rPr>
          <w:rFonts w:ascii="Palatino Linotype" w:hAnsi="Palatino Linotype" w:cs="Arial"/>
          <w:sz w:val="24"/>
          <w:szCs w:val="24"/>
        </w:rPr>
        <w:t>l</w:t>
      </w:r>
      <w:r w:rsidR="00902248" w:rsidRPr="0048616B">
        <w:rPr>
          <w:rFonts w:ascii="Palatino Linotype" w:hAnsi="Palatino Linotype" w:cs="Arial"/>
          <w:sz w:val="24"/>
          <w:szCs w:val="24"/>
        </w:rPr>
        <w:t xml:space="preserve"> que se le asignó </w:t>
      </w:r>
      <w:r w:rsidR="0000525F" w:rsidRPr="0048616B">
        <w:rPr>
          <w:rFonts w:ascii="Palatino Linotype" w:hAnsi="Palatino Linotype" w:cs="Arial"/>
          <w:sz w:val="24"/>
          <w:szCs w:val="24"/>
        </w:rPr>
        <w:t>el</w:t>
      </w:r>
      <w:r w:rsidRPr="0048616B">
        <w:rPr>
          <w:rFonts w:ascii="Palatino Linotype" w:hAnsi="Palatino Linotype" w:cs="Arial"/>
          <w:sz w:val="24"/>
          <w:szCs w:val="24"/>
        </w:rPr>
        <w:t xml:space="preserve"> número de expediente </w:t>
      </w:r>
      <w:r w:rsidR="0076241F" w:rsidRPr="0048616B">
        <w:rPr>
          <w:rFonts w:ascii="Palatino Linotype" w:eastAsia="Times New Roman" w:hAnsi="Palatino Linotype" w:cs="Arial"/>
          <w:b/>
          <w:bCs/>
          <w:sz w:val="24"/>
          <w:szCs w:val="24"/>
          <w:lang w:eastAsia="es-ES"/>
        </w:rPr>
        <w:t>0</w:t>
      </w:r>
      <w:r w:rsidR="0048616B">
        <w:rPr>
          <w:rFonts w:ascii="Palatino Linotype" w:eastAsia="Times New Roman" w:hAnsi="Palatino Linotype" w:cs="Arial"/>
          <w:b/>
          <w:bCs/>
          <w:sz w:val="24"/>
          <w:szCs w:val="24"/>
          <w:lang w:eastAsia="es-ES"/>
        </w:rPr>
        <w:t>4359</w:t>
      </w:r>
      <w:r w:rsidR="001754A4" w:rsidRPr="0048616B">
        <w:rPr>
          <w:rFonts w:ascii="Palatino Linotype" w:eastAsia="Times New Roman" w:hAnsi="Palatino Linotype" w:cs="Arial"/>
          <w:b/>
          <w:bCs/>
          <w:sz w:val="24"/>
          <w:szCs w:val="24"/>
          <w:lang w:eastAsia="es-ES"/>
        </w:rPr>
        <w:t>/</w:t>
      </w:r>
      <w:r w:rsidR="00C7250F" w:rsidRPr="0048616B">
        <w:rPr>
          <w:rFonts w:ascii="Palatino Linotype" w:eastAsia="Times New Roman" w:hAnsi="Palatino Linotype" w:cs="Arial"/>
          <w:b/>
          <w:bCs/>
          <w:sz w:val="24"/>
          <w:szCs w:val="24"/>
          <w:lang w:eastAsia="es-ES"/>
        </w:rPr>
        <w:t>INFOEM/IP/RR/2018</w:t>
      </w:r>
      <w:r w:rsidR="0000525F" w:rsidRPr="0048616B">
        <w:rPr>
          <w:rFonts w:ascii="Palatino Linotype" w:eastAsia="Times New Roman" w:hAnsi="Palatino Linotype" w:cs="Arial"/>
          <w:b/>
          <w:bCs/>
          <w:sz w:val="24"/>
          <w:szCs w:val="24"/>
          <w:lang w:eastAsia="es-ES"/>
        </w:rPr>
        <w:t>.</w:t>
      </w:r>
    </w:p>
    <w:p w:rsidR="0000525F" w:rsidRPr="0048616B" w:rsidRDefault="0000525F" w:rsidP="00B31A3C">
      <w:pPr>
        <w:pStyle w:val="Prrafodelista"/>
        <w:spacing w:after="0" w:line="360" w:lineRule="auto"/>
        <w:ind w:left="0"/>
        <w:jc w:val="both"/>
        <w:rPr>
          <w:rFonts w:ascii="Palatino Linotype" w:hAnsi="Palatino Linotype" w:cs="Arial"/>
          <w:sz w:val="24"/>
          <w:szCs w:val="24"/>
        </w:rPr>
      </w:pPr>
    </w:p>
    <w:p w:rsidR="001754A4" w:rsidRPr="0048616B" w:rsidRDefault="00C7250F" w:rsidP="00B31A3C">
      <w:pPr>
        <w:pStyle w:val="Prrafodelista"/>
        <w:numPr>
          <w:ilvl w:val="0"/>
          <w:numId w:val="1"/>
        </w:numPr>
        <w:spacing w:after="0" w:line="360" w:lineRule="auto"/>
        <w:ind w:left="0" w:right="49" w:firstLine="0"/>
        <w:jc w:val="both"/>
        <w:rPr>
          <w:rFonts w:ascii="Palatino Linotype" w:hAnsi="Palatino Linotype" w:cs="Arial"/>
          <w:i/>
          <w:sz w:val="24"/>
          <w:szCs w:val="24"/>
        </w:rPr>
      </w:pPr>
      <w:r w:rsidRPr="0048616B">
        <w:rPr>
          <w:rFonts w:ascii="Palatino Linotype" w:hAnsi="Palatino Linotype" w:cs="Arial"/>
          <w:sz w:val="24"/>
          <w:szCs w:val="24"/>
        </w:rPr>
        <w:t>El sentido de la Resolución determin</w:t>
      </w:r>
      <w:r w:rsidR="00BF43E0" w:rsidRPr="0048616B">
        <w:rPr>
          <w:rFonts w:ascii="Palatino Linotype" w:hAnsi="Palatino Linotype" w:cs="Arial"/>
          <w:sz w:val="24"/>
          <w:szCs w:val="24"/>
        </w:rPr>
        <w:t>ó</w:t>
      </w:r>
      <w:r w:rsidR="00BE66A6" w:rsidRPr="0048616B">
        <w:rPr>
          <w:rFonts w:ascii="Palatino Linotype" w:hAnsi="Palatino Linotype" w:cs="Arial"/>
          <w:sz w:val="24"/>
          <w:szCs w:val="24"/>
        </w:rPr>
        <w:t xml:space="preserve"> </w:t>
      </w:r>
      <w:r w:rsidR="00BE66A6" w:rsidRPr="0048616B">
        <w:rPr>
          <w:rFonts w:ascii="Palatino Linotype" w:hAnsi="Palatino Linotype" w:cs="Arial"/>
          <w:b/>
          <w:sz w:val="24"/>
          <w:szCs w:val="24"/>
        </w:rPr>
        <w:t>SOBRESEER</w:t>
      </w:r>
      <w:r w:rsidR="0048616B">
        <w:rPr>
          <w:rFonts w:ascii="Palatino Linotype" w:hAnsi="Palatino Linotype" w:cs="Arial"/>
          <w:sz w:val="24"/>
          <w:szCs w:val="24"/>
        </w:rPr>
        <w:t xml:space="preserve"> el recurso de revisión </w:t>
      </w:r>
      <w:r w:rsidR="0048616B" w:rsidRPr="0048616B">
        <w:rPr>
          <w:rFonts w:ascii="Palatino Linotype" w:hAnsi="Palatino Linotype" w:cs="Arial"/>
          <w:b/>
          <w:sz w:val="24"/>
          <w:szCs w:val="24"/>
        </w:rPr>
        <w:t>04359</w:t>
      </w:r>
      <w:r w:rsidR="00BE66A6" w:rsidRPr="0048616B">
        <w:rPr>
          <w:rFonts w:ascii="Palatino Linotype" w:hAnsi="Palatino Linotype" w:cs="Arial"/>
          <w:b/>
          <w:sz w:val="24"/>
          <w:szCs w:val="24"/>
        </w:rPr>
        <w:t>/INFOEM/IP/RR/2018</w:t>
      </w:r>
      <w:r w:rsidR="00BE66A6" w:rsidRPr="0048616B">
        <w:rPr>
          <w:rFonts w:ascii="Palatino Linotype" w:hAnsi="Palatino Linotype" w:cs="Arial"/>
          <w:sz w:val="24"/>
          <w:szCs w:val="24"/>
        </w:rPr>
        <w:t xml:space="preserve">, porque el </w:t>
      </w:r>
      <w:r w:rsidR="0048616B">
        <w:rPr>
          <w:rFonts w:ascii="Palatino Linotype" w:hAnsi="Palatino Linotype" w:cs="Arial"/>
          <w:b/>
          <w:sz w:val="24"/>
          <w:szCs w:val="24"/>
        </w:rPr>
        <w:t>Sujeto O</w:t>
      </w:r>
      <w:r w:rsidR="00BE66A6" w:rsidRPr="0048616B">
        <w:rPr>
          <w:rFonts w:ascii="Palatino Linotype" w:hAnsi="Palatino Linotype" w:cs="Arial"/>
          <w:b/>
          <w:sz w:val="24"/>
          <w:szCs w:val="24"/>
        </w:rPr>
        <w:t>bligado</w:t>
      </w:r>
      <w:r w:rsidR="00BE66A6" w:rsidRPr="0048616B">
        <w:rPr>
          <w:rFonts w:ascii="Palatino Linotype" w:hAnsi="Palatino Linotype" w:cs="Arial"/>
          <w:sz w:val="24"/>
          <w:szCs w:val="24"/>
        </w:rPr>
        <w:t xml:space="preserve"> al modificar su respuesta, el recurso de revisión quedó sin materia. </w:t>
      </w:r>
    </w:p>
    <w:p w:rsidR="00BE66A6" w:rsidRPr="0048616B" w:rsidRDefault="00BE66A6" w:rsidP="00B31A3C">
      <w:pPr>
        <w:pStyle w:val="Prrafodelista"/>
        <w:spacing w:after="0" w:line="360" w:lineRule="auto"/>
        <w:ind w:left="0" w:right="49"/>
        <w:jc w:val="both"/>
        <w:rPr>
          <w:rFonts w:ascii="Palatino Linotype" w:hAnsi="Palatino Linotype" w:cs="Arial"/>
          <w:i/>
          <w:sz w:val="24"/>
          <w:szCs w:val="24"/>
        </w:rPr>
      </w:pPr>
    </w:p>
    <w:p w:rsidR="0046491C" w:rsidRPr="0048616B" w:rsidRDefault="000B7C6E"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S</w:t>
      </w:r>
      <w:r w:rsidR="00C7250F" w:rsidRPr="0048616B">
        <w:rPr>
          <w:rFonts w:ascii="Palatino Linotype" w:hAnsi="Palatino Linotype" w:cs="Arial"/>
          <w:sz w:val="24"/>
          <w:szCs w:val="24"/>
        </w:rPr>
        <w:t>in embargo, m</w:t>
      </w:r>
      <w:r w:rsidR="0046491C" w:rsidRPr="0048616B">
        <w:rPr>
          <w:rFonts w:ascii="Palatino Linotype" w:hAnsi="Palatino Linotype" w:cs="Arial"/>
          <w:sz w:val="24"/>
          <w:szCs w:val="24"/>
        </w:rPr>
        <w:t xml:space="preserve">i </w:t>
      </w:r>
      <w:r w:rsidR="00D33AF9" w:rsidRPr="0048616B">
        <w:rPr>
          <w:rFonts w:ascii="Palatino Linotype" w:hAnsi="Palatino Linotype" w:cs="Arial"/>
          <w:sz w:val="24"/>
          <w:szCs w:val="24"/>
        </w:rPr>
        <w:t>voto</w:t>
      </w:r>
      <w:r w:rsidR="0046491C" w:rsidRPr="0048616B">
        <w:rPr>
          <w:rFonts w:ascii="Palatino Linotype" w:hAnsi="Palatino Linotype" w:cs="Arial"/>
          <w:sz w:val="24"/>
          <w:szCs w:val="24"/>
        </w:rPr>
        <w:t xml:space="preserve"> particular se deriva del hecho de que se haya invocado la figura de actos consentidos en el presente asunto</w:t>
      </w:r>
      <w:r w:rsidR="00616B05" w:rsidRPr="0048616B">
        <w:rPr>
          <w:rFonts w:ascii="Palatino Linotype" w:hAnsi="Palatino Linotype" w:cs="Arial"/>
          <w:sz w:val="24"/>
          <w:szCs w:val="24"/>
        </w:rPr>
        <w:t xml:space="preserve"> así como del pronunciamiento simple</w:t>
      </w:r>
      <w:r w:rsidR="0046491C" w:rsidRPr="0048616B">
        <w:rPr>
          <w:rFonts w:ascii="Palatino Linotype" w:hAnsi="Palatino Linotype" w:cs="Arial"/>
          <w:sz w:val="24"/>
          <w:szCs w:val="24"/>
        </w:rPr>
        <w:t>, resultando del todo innecesario hacer referencia a dicha figura, lo cual he manifestado en diversas ocasiones señalando que no deben invocarse en el derecho de acceso a la información pública.</w:t>
      </w:r>
    </w:p>
    <w:p w:rsidR="008A3D2D" w:rsidRPr="0048616B" w:rsidRDefault="008A3D2D" w:rsidP="0048616B">
      <w:pPr>
        <w:pStyle w:val="Prrafodelista"/>
        <w:spacing w:after="0" w:line="360" w:lineRule="auto"/>
        <w:ind w:left="360" w:right="49"/>
        <w:jc w:val="both"/>
        <w:rPr>
          <w:rFonts w:ascii="Palatino Linotype" w:hAnsi="Palatino Linotype" w:cs="Arial"/>
          <w:sz w:val="24"/>
          <w:szCs w:val="24"/>
        </w:rPr>
      </w:pPr>
    </w:p>
    <w:p w:rsidR="0046491C" w:rsidRDefault="0046491C" w:rsidP="00B31A3C">
      <w:pPr>
        <w:pStyle w:val="Prrafodelista"/>
        <w:numPr>
          <w:ilvl w:val="0"/>
          <w:numId w:val="1"/>
        </w:numPr>
        <w:spacing w:after="0" w:line="360" w:lineRule="auto"/>
        <w:ind w:left="0" w:firstLine="0"/>
        <w:jc w:val="both"/>
        <w:rPr>
          <w:rFonts w:ascii="Palatino Linotype" w:hAnsi="Palatino Linotype" w:cs="Arial"/>
          <w:sz w:val="24"/>
          <w:szCs w:val="24"/>
        </w:rPr>
      </w:pPr>
      <w:r w:rsidRPr="0048616B">
        <w:rPr>
          <w:rFonts w:ascii="Palatino Linotype" w:hAnsi="Palatino Linotype" w:cs="Arial"/>
          <w:sz w:val="24"/>
          <w:szCs w:val="24"/>
        </w:rPr>
        <w:lastRenderedPageBreak/>
        <w:t xml:space="preserve">Por tal motivo y en términos de lo señalado por los artículos </w:t>
      </w:r>
      <w:r w:rsidR="00AA49F3" w:rsidRPr="0048616B">
        <w:rPr>
          <w:rFonts w:ascii="Palatino Linotype" w:hAnsi="Palatino Linotype" w:cs="Arial"/>
          <w:sz w:val="24"/>
          <w:szCs w:val="24"/>
        </w:rPr>
        <w:t>14</w:t>
      </w:r>
      <w:r w:rsidRPr="0048616B">
        <w:rPr>
          <w:rFonts w:ascii="Palatino Linotype" w:hAnsi="Palatino Linotype" w:cs="Arial"/>
          <w:sz w:val="24"/>
          <w:szCs w:val="24"/>
        </w:rPr>
        <w:t xml:space="preserve"> fracción </w:t>
      </w:r>
      <w:r w:rsidR="00AA49F3" w:rsidRPr="0048616B">
        <w:rPr>
          <w:rFonts w:ascii="Palatino Linotype" w:hAnsi="Palatino Linotype" w:cs="Arial"/>
          <w:sz w:val="24"/>
          <w:szCs w:val="24"/>
        </w:rPr>
        <w:t>XI</w:t>
      </w:r>
      <w:r w:rsidRPr="0048616B">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8616B" w:rsidRPr="0048616B" w:rsidRDefault="0048616B" w:rsidP="0048616B">
      <w:pPr>
        <w:spacing w:after="0" w:line="360" w:lineRule="auto"/>
        <w:jc w:val="both"/>
        <w:rPr>
          <w:rFonts w:ascii="Palatino Linotype" w:hAnsi="Palatino Linotype" w:cs="Arial"/>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1" w:name="_Toc526153519"/>
      <w:r w:rsidRPr="0048616B">
        <w:rPr>
          <w:rFonts w:ascii="Palatino Linotype" w:hAnsi="Palatino Linotype"/>
          <w:b/>
          <w:color w:val="auto"/>
          <w:sz w:val="24"/>
          <w:szCs w:val="24"/>
        </w:rPr>
        <w:t>De los requerimientos planteados en el recurso de revisión.</w:t>
      </w:r>
      <w:bookmarkEnd w:id="1"/>
    </w:p>
    <w:p w:rsidR="0046491C" w:rsidRPr="0048616B" w:rsidRDefault="0046491C" w:rsidP="0048616B">
      <w:pPr>
        <w:pStyle w:val="Prrafodelista"/>
        <w:spacing w:after="0" w:line="360" w:lineRule="auto"/>
        <w:ind w:left="1080"/>
        <w:jc w:val="both"/>
        <w:rPr>
          <w:rFonts w:ascii="Palatino Linotype" w:hAnsi="Palatino Linotype" w:cs="Arial"/>
          <w:sz w:val="24"/>
          <w:szCs w:val="24"/>
        </w:rPr>
      </w:pPr>
    </w:p>
    <w:p w:rsidR="00DF6665" w:rsidRPr="0048616B" w:rsidRDefault="00D11CB8" w:rsidP="00B31A3C">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48616B">
        <w:rPr>
          <w:rFonts w:ascii="Palatino Linotype" w:hAnsi="Palatino Linotype" w:cs="Arial"/>
          <w:sz w:val="24"/>
          <w:szCs w:val="24"/>
        </w:rPr>
        <w:t>El</w:t>
      </w:r>
      <w:r w:rsidR="008E1DCC" w:rsidRPr="0048616B">
        <w:rPr>
          <w:rFonts w:ascii="Palatino Linotype" w:hAnsi="Palatino Linotype" w:cs="Arial"/>
          <w:sz w:val="24"/>
          <w:szCs w:val="24"/>
        </w:rPr>
        <w:t xml:space="preserve"> particular</w:t>
      </w:r>
      <w:r w:rsidR="00DF6665" w:rsidRPr="0048616B">
        <w:rPr>
          <w:rFonts w:ascii="Palatino Linotype" w:hAnsi="Palatino Linotype" w:cs="Arial"/>
          <w:sz w:val="24"/>
          <w:szCs w:val="24"/>
        </w:rPr>
        <w:t xml:space="preserve"> solicitó que el Sujeto Obligado le remitiera la siguiente información: </w:t>
      </w:r>
    </w:p>
    <w:p w:rsidR="0048616B" w:rsidRPr="0048616B" w:rsidRDefault="0048616B" w:rsidP="0048616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48616B" w:rsidRPr="0048616B" w:rsidRDefault="0048616B" w:rsidP="0048616B">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9C102E">
        <w:rPr>
          <w:rFonts w:ascii="Palatino Linotype" w:hAnsi="Palatino Linotype" w:cs="Arial"/>
          <w:i/>
          <w:color w:val="000000"/>
        </w:rPr>
        <w:t>“</w:t>
      </w:r>
      <w:r w:rsidRPr="009C102E">
        <w:rPr>
          <w:rFonts w:ascii="Palatino Linotype" w:hAnsi="Palatino Linotype"/>
          <w:i/>
          <w:color w:val="000000"/>
        </w:rPr>
        <w:t xml:space="preserve">Copia simple en versión publica del permiso o permisos para laborar, operar, vender bebidas </w:t>
      </w:r>
      <w:proofErr w:type="spellStart"/>
      <w:r w:rsidRPr="009C102E">
        <w:rPr>
          <w:rFonts w:ascii="Palatino Linotype" w:hAnsi="Palatino Linotype"/>
          <w:i/>
          <w:color w:val="000000"/>
        </w:rPr>
        <w:t>hacolicas</w:t>
      </w:r>
      <w:proofErr w:type="spellEnd"/>
      <w:r w:rsidRPr="009C102E">
        <w:rPr>
          <w:rFonts w:ascii="Palatino Linotype" w:hAnsi="Palatino Linotype"/>
          <w:i/>
          <w:color w:val="000000"/>
        </w:rPr>
        <w:t xml:space="preserve"> otorgado a la taquería denominada los compadres, ubicada en calle </w:t>
      </w:r>
      <w:r w:rsidR="00556B00" w:rsidRPr="00556B00">
        <w:rPr>
          <w:rFonts w:ascii="Palatino Linotype" w:hAnsi="Palatino Linotype"/>
          <w:i/>
          <w:color w:val="000000"/>
          <w:highlight w:val="black"/>
        </w:rPr>
        <w:t>------------------------</w:t>
      </w:r>
      <w:r w:rsidRPr="00556B00">
        <w:rPr>
          <w:rFonts w:ascii="Palatino Linotype" w:hAnsi="Palatino Linotype"/>
          <w:i/>
          <w:color w:val="000000"/>
          <w:highlight w:val="black"/>
        </w:rPr>
        <w:t xml:space="preserve">, </w:t>
      </w:r>
      <w:r w:rsidR="00556B00" w:rsidRPr="00556B00">
        <w:rPr>
          <w:rFonts w:ascii="Palatino Linotype" w:hAnsi="Palatino Linotype"/>
          <w:i/>
          <w:color w:val="000000"/>
          <w:highlight w:val="black"/>
        </w:rPr>
        <w:t>--------------------------------------------------------------------</w:t>
      </w:r>
      <w:r w:rsidRPr="009C102E">
        <w:rPr>
          <w:rFonts w:ascii="Palatino Linotype" w:hAnsi="Palatino Linotype"/>
          <w:i/>
          <w:color w:val="000000"/>
        </w:rPr>
        <w:t xml:space="preserve">, colonia </w:t>
      </w:r>
      <w:r w:rsidR="00556B00" w:rsidRPr="00556B00">
        <w:rPr>
          <w:rFonts w:ascii="Palatino Linotype" w:hAnsi="Palatino Linotype"/>
          <w:i/>
          <w:color w:val="000000"/>
          <w:highlight w:val="black"/>
        </w:rPr>
        <w:t>-------------------</w:t>
      </w:r>
      <w:r w:rsidRPr="009C102E">
        <w:rPr>
          <w:rFonts w:ascii="Palatino Linotype" w:hAnsi="Palatino Linotype"/>
          <w:i/>
          <w:color w:val="000000"/>
        </w:rPr>
        <w:t xml:space="preserve"> . Así mismo copia simple en versión </w:t>
      </w:r>
      <w:proofErr w:type="spellStart"/>
      <w:r w:rsidRPr="009C102E">
        <w:rPr>
          <w:rFonts w:ascii="Palatino Linotype" w:hAnsi="Palatino Linotype"/>
          <w:i/>
          <w:color w:val="000000"/>
        </w:rPr>
        <w:t>public</w:t>
      </w:r>
      <w:proofErr w:type="spellEnd"/>
      <w:r w:rsidRPr="009C102E">
        <w:rPr>
          <w:rFonts w:ascii="Palatino Linotype" w:hAnsi="Palatino Linotype"/>
          <w:i/>
          <w:color w:val="000000"/>
        </w:rPr>
        <w:t xml:space="preserve"> del permiso para poder vender comida en la vía pública (tacos) Solicito nombre del servidor público que autorizo los permisos de venta de </w:t>
      </w:r>
      <w:proofErr w:type="spellStart"/>
      <w:r w:rsidRPr="009C102E">
        <w:rPr>
          <w:rFonts w:ascii="Palatino Linotype" w:hAnsi="Palatino Linotype"/>
          <w:i/>
          <w:color w:val="000000"/>
        </w:rPr>
        <w:t>halcol</w:t>
      </w:r>
      <w:proofErr w:type="spellEnd"/>
      <w:r w:rsidRPr="009C102E">
        <w:rPr>
          <w:rFonts w:ascii="Palatino Linotype" w:hAnsi="Palatino Linotype"/>
          <w:i/>
          <w:color w:val="000000"/>
        </w:rPr>
        <w:t xml:space="preserve">, y venta de comida en la vía pública (tacos), en la dirección antes referida. Copia simple en versión </w:t>
      </w:r>
      <w:proofErr w:type="gramStart"/>
      <w:r w:rsidRPr="009C102E">
        <w:rPr>
          <w:rFonts w:ascii="Palatino Linotype" w:hAnsi="Palatino Linotype"/>
          <w:i/>
          <w:color w:val="000000"/>
        </w:rPr>
        <w:t>publica</w:t>
      </w:r>
      <w:proofErr w:type="gramEnd"/>
      <w:r w:rsidRPr="009C102E">
        <w:rPr>
          <w:rFonts w:ascii="Palatino Linotype" w:hAnsi="Palatino Linotype"/>
          <w:i/>
          <w:color w:val="000000"/>
        </w:rPr>
        <w:t xml:space="preserve"> del permiso para utilizar la vía pública para poner mesas Se anexa fotos de puesto de tacos en comento, así como la ubicación de local. En el caso de la inexistencia de los permisos, solicito nombre del servidor público y cargo público, facultado para realizar la inspección física y realizar la clausura de local de tacos que no cuenta con permiso para laborar ni vender tacos y bebidas </w:t>
      </w:r>
      <w:proofErr w:type="spellStart"/>
      <w:r w:rsidRPr="009C102E">
        <w:rPr>
          <w:rFonts w:ascii="Palatino Linotype" w:hAnsi="Palatino Linotype"/>
          <w:i/>
          <w:color w:val="000000"/>
        </w:rPr>
        <w:t>alcolicas</w:t>
      </w:r>
      <w:proofErr w:type="spellEnd"/>
      <w:r w:rsidRPr="009C102E">
        <w:rPr>
          <w:rFonts w:ascii="Palatino Linotype" w:hAnsi="Palatino Linotype"/>
          <w:i/>
          <w:color w:val="000000"/>
        </w:rPr>
        <w:t xml:space="preserve">. Número de teléfono del servidor público en cargado de los operativo de verificación a los comercio. (Puestos de tacos y venta de bebidas </w:t>
      </w:r>
      <w:proofErr w:type="spellStart"/>
      <w:r w:rsidRPr="009C102E">
        <w:rPr>
          <w:rFonts w:ascii="Palatino Linotype" w:hAnsi="Palatino Linotype"/>
          <w:i/>
          <w:color w:val="000000"/>
        </w:rPr>
        <w:t>hacolicas</w:t>
      </w:r>
      <w:proofErr w:type="spellEnd"/>
      <w:r w:rsidRPr="009C102E">
        <w:rPr>
          <w:rFonts w:ascii="Palatino Linotype" w:hAnsi="Palatino Linotype"/>
          <w:i/>
          <w:color w:val="000000"/>
        </w:rPr>
        <w:t xml:space="preserve">) Procedimiento de verificación para la verificación de los establecimientos mercantiles (puestos de tacos y venta de </w:t>
      </w:r>
      <w:r w:rsidRPr="009C102E">
        <w:rPr>
          <w:rFonts w:ascii="Palatino Linotype" w:hAnsi="Palatino Linotype"/>
          <w:i/>
          <w:color w:val="000000"/>
        </w:rPr>
        <w:lastRenderedPageBreak/>
        <w:t xml:space="preserve">bebidas </w:t>
      </w:r>
      <w:proofErr w:type="spellStart"/>
      <w:r w:rsidRPr="009C102E">
        <w:rPr>
          <w:rFonts w:ascii="Palatino Linotype" w:hAnsi="Palatino Linotype"/>
          <w:i/>
          <w:color w:val="000000"/>
        </w:rPr>
        <w:t>hacolicas</w:t>
      </w:r>
      <w:proofErr w:type="spellEnd"/>
      <w:r w:rsidRPr="009C102E">
        <w:rPr>
          <w:rFonts w:ascii="Palatino Linotype" w:hAnsi="Palatino Linotype"/>
          <w:i/>
          <w:color w:val="000000"/>
        </w:rPr>
        <w:t xml:space="preserve">) Procedimiento de quejas por la venta de bebidas </w:t>
      </w:r>
      <w:proofErr w:type="spellStart"/>
      <w:r w:rsidRPr="009C102E">
        <w:rPr>
          <w:rFonts w:ascii="Palatino Linotype" w:hAnsi="Palatino Linotype"/>
          <w:i/>
          <w:color w:val="000000"/>
        </w:rPr>
        <w:t>hacolicas</w:t>
      </w:r>
      <w:proofErr w:type="spellEnd"/>
      <w:r w:rsidRPr="009C102E">
        <w:rPr>
          <w:rFonts w:ascii="Palatino Linotype" w:hAnsi="Palatino Linotype"/>
          <w:i/>
          <w:color w:val="000000"/>
        </w:rPr>
        <w:t>, nombre del servidor público en cagado de recibir la queja, (desde el servidor público de ventanilla hasta el servidor público que tiene las facultades de dar contratación a la queja.</w:t>
      </w:r>
      <w:r w:rsidRPr="009C102E">
        <w:rPr>
          <w:rFonts w:ascii="Palatino Linotype" w:hAnsi="Palatino Linotype"/>
          <w:bCs/>
          <w:i/>
          <w:color w:val="000000"/>
        </w:rPr>
        <w:t>”</w:t>
      </w:r>
      <w:r w:rsidRPr="009C102E">
        <w:rPr>
          <w:rFonts w:ascii="Palatino Linotype" w:hAnsi="Palatino Linotype" w:cs="Arial"/>
          <w:i/>
        </w:rPr>
        <w:t xml:space="preserve"> </w:t>
      </w:r>
      <w:r w:rsidRPr="00C54ACC">
        <w:rPr>
          <w:rFonts w:ascii="Palatino Linotype" w:hAnsi="Palatino Linotype" w:cs="Arial"/>
          <w:i/>
          <w:sz w:val="20"/>
          <w:szCs w:val="20"/>
        </w:rPr>
        <w:t>(Sic)</w:t>
      </w:r>
    </w:p>
    <w:p w:rsidR="0048616B" w:rsidRPr="0048616B" w:rsidRDefault="0048616B" w:rsidP="0048616B">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A10B30" w:rsidRPr="00147E84" w:rsidRDefault="00AE4797" w:rsidP="00B31A3C">
      <w:pPr>
        <w:pStyle w:val="Prrafodelista"/>
        <w:numPr>
          <w:ilvl w:val="0"/>
          <w:numId w:val="1"/>
        </w:numPr>
        <w:spacing w:after="0" w:line="360" w:lineRule="auto"/>
        <w:ind w:left="0" w:firstLine="0"/>
        <w:jc w:val="both"/>
        <w:rPr>
          <w:rStyle w:val="Hipervnculo"/>
          <w:rFonts w:ascii="Palatino Linotype" w:eastAsia="Times New Roman" w:hAnsi="Palatino Linotype" w:cs="Times New Roman"/>
          <w:i/>
          <w:color w:val="auto"/>
          <w:sz w:val="24"/>
          <w:szCs w:val="24"/>
          <w:u w:val="none"/>
          <w:lang w:val="es-ES_tradnl" w:eastAsia="es-ES"/>
        </w:rPr>
      </w:pPr>
      <w:r w:rsidRPr="00147E84">
        <w:rPr>
          <w:rFonts w:ascii="Palatino Linotype" w:hAnsi="Palatino Linotype" w:cs="Arial"/>
          <w:sz w:val="24"/>
          <w:szCs w:val="24"/>
        </w:rPr>
        <w:t xml:space="preserve">El </w:t>
      </w:r>
      <w:r w:rsidRPr="00147E84">
        <w:rPr>
          <w:rFonts w:ascii="Palatino Linotype" w:hAnsi="Palatino Linotype" w:cs="Arial"/>
          <w:b/>
          <w:sz w:val="24"/>
          <w:szCs w:val="24"/>
        </w:rPr>
        <w:t>Sujeto Obligado</w:t>
      </w:r>
      <w:r w:rsidRPr="00147E84">
        <w:rPr>
          <w:rFonts w:ascii="Palatino Linotype" w:hAnsi="Palatino Linotype" w:cs="Arial"/>
          <w:sz w:val="24"/>
          <w:szCs w:val="24"/>
        </w:rPr>
        <w:t xml:space="preserve"> </w:t>
      </w:r>
      <w:r w:rsidR="00C7250F" w:rsidRPr="00147E84">
        <w:rPr>
          <w:rFonts w:ascii="Palatino Linotype" w:hAnsi="Palatino Linotype" w:cs="Arial"/>
          <w:sz w:val="24"/>
          <w:szCs w:val="24"/>
        </w:rPr>
        <w:t>en respuesta</w:t>
      </w:r>
      <w:r w:rsidR="00746812" w:rsidRPr="00147E84">
        <w:rPr>
          <w:rFonts w:ascii="Palatino Linotype" w:hAnsi="Palatino Linotype" w:cs="Arial"/>
          <w:sz w:val="24"/>
          <w:szCs w:val="24"/>
        </w:rPr>
        <w:t xml:space="preserve"> </w:t>
      </w:r>
      <w:r w:rsidR="00FC2009" w:rsidRPr="00147E84">
        <w:rPr>
          <w:rFonts w:ascii="Palatino Linotype" w:hAnsi="Palatino Linotype" w:cs="Arial"/>
          <w:sz w:val="24"/>
          <w:szCs w:val="24"/>
        </w:rPr>
        <w:t xml:space="preserve">remitió </w:t>
      </w:r>
      <w:r w:rsidR="00147E84" w:rsidRPr="00147E84">
        <w:rPr>
          <w:rFonts w:ascii="Palatino Linotype" w:hAnsi="Palatino Linotype" w:cs="Arial"/>
          <w:sz w:val="24"/>
          <w:szCs w:val="24"/>
        </w:rPr>
        <w:t>diversos</w:t>
      </w:r>
      <w:r w:rsidR="00BE66A6" w:rsidRPr="00147E84">
        <w:rPr>
          <w:rFonts w:ascii="Palatino Linotype" w:hAnsi="Palatino Linotype" w:cs="Arial"/>
          <w:sz w:val="24"/>
          <w:szCs w:val="24"/>
        </w:rPr>
        <w:t xml:space="preserve"> </w:t>
      </w:r>
      <w:r w:rsidR="00FC2009" w:rsidRPr="00147E84">
        <w:rPr>
          <w:rFonts w:ascii="Palatino Linotype" w:hAnsi="Palatino Linotype" w:cs="Arial"/>
          <w:sz w:val="24"/>
          <w:szCs w:val="24"/>
        </w:rPr>
        <w:t xml:space="preserve"> </w:t>
      </w:r>
      <w:r w:rsidR="00BE66A6" w:rsidRPr="00147E84">
        <w:rPr>
          <w:rFonts w:ascii="Palatino Linotype" w:hAnsi="Palatino Linotype" w:cs="Arial"/>
          <w:sz w:val="24"/>
          <w:szCs w:val="24"/>
        </w:rPr>
        <w:t>archivo</w:t>
      </w:r>
      <w:r w:rsidR="00147E84" w:rsidRPr="00147E84">
        <w:rPr>
          <w:rFonts w:ascii="Palatino Linotype" w:hAnsi="Palatino Linotype" w:cs="Arial"/>
          <w:sz w:val="24"/>
          <w:szCs w:val="24"/>
        </w:rPr>
        <w:t>s</w:t>
      </w:r>
      <w:r w:rsidR="00BE66A6" w:rsidRPr="00147E84">
        <w:rPr>
          <w:rFonts w:ascii="Palatino Linotype" w:hAnsi="Palatino Linotype" w:cs="Arial"/>
          <w:sz w:val="24"/>
          <w:szCs w:val="24"/>
        </w:rPr>
        <w:t xml:space="preserve"> electrónico</w:t>
      </w:r>
      <w:r w:rsidR="00147E84" w:rsidRPr="00147E84">
        <w:rPr>
          <w:rFonts w:ascii="Palatino Linotype" w:hAnsi="Palatino Linotype" w:cs="Arial"/>
          <w:sz w:val="24"/>
          <w:szCs w:val="24"/>
        </w:rPr>
        <w:t>s</w:t>
      </w:r>
      <w:r w:rsidR="00BE66A6" w:rsidRPr="00147E84">
        <w:rPr>
          <w:rFonts w:ascii="Palatino Linotype" w:hAnsi="Palatino Linotype" w:cs="Arial"/>
          <w:sz w:val="24"/>
          <w:szCs w:val="24"/>
        </w:rPr>
        <w:t xml:space="preserve"> </w:t>
      </w:r>
      <w:hyperlink r:id="rId8" w:tgtFrame="_blank" w:history="1">
        <w:r w:rsidR="00147E84" w:rsidRPr="00C061E4">
          <w:rPr>
            <w:rStyle w:val="Hipervnculo"/>
            <w:rFonts w:ascii="Palatino Linotype" w:hAnsi="Palatino Linotype" w:cs="Arial"/>
            <w:b/>
            <w:bCs/>
            <w:color w:val="000000" w:themeColor="text1"/>
          </w:rPr>
          <w:t>escaneo0219.pdf</w:t>
        </w:r>
      </w:hyperlink>
      <w:r w:rsidR="00147E84">
        <w:rPr>
          <w:rFonts w:ascii="Palatino Linotype" w:hAnsi="Palatino Linotype" w:cs="Arial"/>
          <w:b/>
          <w:bCs/>
          <w:color w:val="000000" w:themeColor="text1"/>
        </w:rPr>
        <w:t xml:space="preserve">, </w:t>
      </w:r>
      <w:hyperlink r:id="rId9" w:tgtFrame="_blank" w:history="1">
        <w:r w:rsidR="00147E84" w:rsidRPr="00C061E4">
          <w:rPr>
            <w:rStyle w:val="Hipervnculo"/>
            <w:rFonts w:ascii="Palatino Linotype" w:hAnsi="Palatino Linotype" w:cs="Arial"/>
            <w:b/>
            <w:bCs/>
            <w:color w:val="000000" w:themeColor="text1"/>
          </w:rPr>
          <w:t>escaneo0215.pdf</w:t>
        </w:r>
      </w:hyperlink>
      <w:r w:rsidR="00147E84" w:rsidRPr="00C061E4">
        <w:rPr>
          <w:rFonts w:ascii="Palatino Linotype" w:hAnsi="Palatino Linotype" w:cs="Arial"/>
          <w:b/>
          <w:bCs/>
          <w:color w:val="000000" w:themeColor="text1"/>
        </w:rPr>
        <w:t> </w:t>
      </w:r>
      <w:r w:rsidR="00147E84">
        <w:rPr>
          <w:rFonts w:ascii="Palatino Linotype" w:hAnsi="Palatino Linotype" w:cs="Arial"/>
          <w:bCs/>
          <w:color w:val="000000" w:themeColor="text1"/>
        </w:rPr>
        <w:t xml:space="preserve">y </w:t>
      </w:r>
      <w:hyperlink r:id="rId10" w:tgtFrame="_blank" w:history="1">
        <w:r w:rsidR="00147E84" w:rsidRPr="00C061E4">
          <w:rPr>
            <w:rStyle w:val="Hipervnculo"/>
            <w:rFonts w:ascii="Palatino Linotype" w:hAnsi="Palatino Linotype" w:cs="Arial"/>
            <w:b/>
            <w:bCs/>
            <w:color w:val="000000" w:themeColor="text1"/>
          </w:rPr>
          <w:t>escaneo0214.pdf</w:t>
        </w:r>
      </w:hyperlink>
      <w:r w:rsidR="00147E84">
        <w:rPr>
          <w:rStyle w:val="Hipervnculo"/>
          <w:rFonts w:ascii="Palatino Linotype" w:hAnsi="Palatino Linotype" w:cs="Arial"/>
          <w:b/>
          <w:bCs/>
          <w:color w:val="000000" w:themeColor="text1"/>
          <w:u w:val="none"/>
        </w:rPr>
        <w:t xml:space="preserve">. </w:t>
      </w:r>
    </w:p>
    <w:p w:rsidR="00147E84" w:rsidRPr="00147E84" w:rsidRDefault="00147E84" w:rsidP="00B31A3C">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FC2009"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48616B">
        <w:rPr>
          <w:rFonts w:ascii="Palatino Linotype" w:hAnsi="Palatino Linotype" w:cs="Arial"/>
          <w:sz w:val="24"/>
          <w:szCs w:val="24"/>
        </w:rPr>
        <w:t xml:space="preserve">En ese </w:t>
      </w:r>
      <w:r w:rsidRPr="0048616B">
        <w:rPr>
          <w:rFonts w:ascii="Palatino Linotype" w:eastAsia="Times New Roman" w:hAnsi="Palatino Linotype" w:cs="Times New Roman"/>
          <w:color w:val="000000"/>
          <w:sz w:val="24"/>
          <w:szCs w:val="24"/>
          <w:lang w:val="es-ES" w:eastAsia="es-ES"/>
        </w:rPr>
        <w:t>sentido</w:t>
      </w:r>
      <w:r w:rsidRPr="0048616B">
        <w:rPr>
          <w:rFonts w:ascii="Palatino Linotype" w:hAnsi="Palatino Linotype" w:cs="Arial"/>
          <w:sz w:val="24"/>
          <w:szCs w:val="24"/>
        </w:rPr>
        <w:t xml:space="preserve">, </w:t>
      </w:r>
      <w:r w:rsidR="00FC2009" w:rsidRPr="0048616B">
        <w:rPr>
          <w:rFonts w:ascii="Palatino Linotype" w:hAnsi="Palatino Linotype" w:cs="Arial"/>
          <w:sz w:val="24"/>
          <w:szCs w:val="24"/>
        </w:rPr>
        <w:t>el</w:t>
      </w:r>
      <w:r w:rsidR="00AE4797" w:rsidRPr="0048616B">
        <w:rPr>
          <w:rFonts w:ascii="Palatino Linotype" w:hAnsi="Palatino Linotype" w:cs="Arial"/>
          <w:sz w:val="24"/>
          <w:szCs w:val="24"/>
        </w:rPr>
        <w:t xml:space="preserve"> particular </w:t>
      </w:r>
      <w:r w:rsidR="00FC03CA" w:rsidRPr="0048616B">
        <w:rPr>
          <w:rFonts w:ascii="Palatino Linotype" w:hAnsi="Palatino Linotype" w:cs="Arial"/>
          <w:sz w:val="24"/>
          <w:szCs w:val="24"/>
        </w:rPr>
        <w:t xml:space="preserve">en su recurso de revisión </w:t>
      </w:r>
      <w:r w:rsidR="00AE4797" w:rsidRPr="0048616B">
        <w:rPr>
          <w:rFonts w:ascii="Palatino Linotype" w:hAnsi="Palatino Linotype" w:cs="Arial"/>
          <w:sz w:val="24"/>
          <w:szCs w:val="24"/>
        </w:rPr>
        <w:t>se</w:t>
      </w:r>
      <w:r w:rsidR="0095525C" w:rsidRPr="0048616B">
        <w:rPr>
          <w:rFonts w:ascii="Palatino Linotype" w:hAnsi="Palatino Linotype" w:cs="Arial"/>
          <w:sz w:val="24"/>
          <w:szCs w:val="24"/>
        </w:rPr>
        <w:t>ñal</w:t>
      </w:r>
      <w:r w:rsidR="00DC63EE" w:rsidRPr="0048616B">
        <w:rPr>
          <w:rFonts w:ascii="Palatino Linotype" w:hAnsi="Palatino Linotype" w:cs="Arial"/>
          <w:sz w:val="24"/>
          <w:szCs w:val="24"/>
        </w:rPr>
        <w:t>ó</w:t>
      </w:r>
      <w:r w:rsidR="0095525C" w:rsidRPr="0048616B">
        <w:rPr>
          <w:rFonts w:ascii="Palatino Linotype" w:hAnsi="Palatino Linotype" w:cs="Arial"/>
          <w:sz w:val="24"/>
          <w:szCs w:val="24"/>
        </w:rPr>
        <w:t xml:space="preserve"> </w:t>
      </w:r>
      <w:r w:rsidR="00FC03CA" w:rsidRPr="0048616B">
        <w:rPr>
          <w:rFonts w:ascii="Palatino Linotype" w:hAnsi="Palatino Linotype" w:cs="Arial"/>
          <w:sz w:val="24"/>
          <w:szCs w:val="24"/>
        </w:rPr>
        <w:t xml:space="preserve">lo siguiente: </w:t>
      </w:r>
    </w:p>
    <w:p w:rsidR="0048616B" w:rsidRPr="0048616B" w:rsidRDefault="0048616B" w:rsidP="0048616B">
      <w:pPr>
        <w:spacing w:after="0" w:line="360" w:lineRule="auto"/>
        <w:ind w:right="49"/>
        <w:jc w:val="both"/>
        <w:rPr>
          <w:rFonts w:ascii="Palatino Linotype" w:hAnsi="Palatino Linotype" w:cs="Arial"/>
          <w:i/>
          <w:sz w:val="24"/>
          <w:szCs w:val="24"/>
          <w:lang w:val="es-ES"/>
        </w:rPr>
      </w:pPr>
    </w:p>
    <w:p w:rsidR="00FC2009" w:rsidRDefault="00FC2009" w:rsidP="0048616B">
      <w:pPr>
        <w:spacing w:after="0" w:line="360" w:lineRule="auto"/>
        <w:ind w:left="709"/>
        <w:jc w:val="both"/>
        <w:rPr>
          <w:rFonts w:ascii="Palatino Linotype" w:hAnsi="Palatino Linotype" w:cs="Arial"/>
          <w:b/>
          <w:sz w:val="24"/>
          <w:szCs w:val="24"/>
        </w:rPr>
      </w:pPr>
      <w:r w:rsidRPr="0048616B">
        <w:rPr>
          <w:rFonts w:ascii="Palatino Linotype" w:hAnsi="Palatino Linotype" w:cs="Arial"/>
          <w:b/>
          <w:sz w:val="24"/>
          <w:szCs w:val="24"/>
        </w:rPr>
        <w:t>Acto Impugnado:</w:t>
      </w:r>
    </w:p>
    <w:p w:rsidR="0048616B" w:rsidRPr="0048616B" w:rsidRDefault="0048616B" w:rsidP="0048616B">
      <w:pPr>
        <w:spacing w:after="0" w:line="360" w:lineRule="auto"/>
        <w:ind w:left="709"/>
        <w:jc w:val="both"/>
        <w:rPr>
          <w:rFonts w:ascii="Palatino Linotype" w:hAnsi="Palatino Linotype" w:cs="Arial"/>
          <w:b/>
          <w:sz w:val="24"/>
          <w:szCs w:val="24"/>
        </w:rPr>
      </w:pPr>
    </w:p>
    <w:p w:rsidR="00FC2009" w:rsidRDefault="00A10B30" w:rsidP="0048616B">
      <w:pPr>
        <w:spacing w:after="0" w:line="360" w:lineRule="auto"/>
        <w:ind w:left="1134" w:right="850"/>
        <w:jc w:val="both"/>
        <w:rPr>
          <w:rFonts w:ascii="Palatino Linotype" w:hAnsi="Palatino Linotype" w:cs="Arial"/>
          <w:i/>
          <w:sz w:val="24"/>
          <w:szCs w:val="24"/>
        </w:rPr>
      </w:pPr>
      <w:r w:rsidRPr="0048616B">
        <w:rPr>
          <w:rFonts w:ascii="Palatino Linotype" w:hAnsi="Palatino Linotype" w:cs="Arial"/>
          <w:i/>
          <w:sz w:val="24"/>
          <w:szCs w:val="24"/>
        </w:rPr>
        <w:t>“</w:t>
      </w:r>
      <w:r w:rsidR="00147E84" w:rsidRPr="00C061E4">
        <w:rPr>
          <w:rFonts w:ascii="Palatino Linotype" w:hAnsi="Palatino Linotype"/>
          <w:i/>
          <w:color w:val="000000"/>
        </w:rPr>
        <w:t xml:space="preserve">solicite el marco </w:t>
      </w:r>
      <w:proofErr w:type="gramStart"/>
      <w:r w:rsidR="00147E84" w:rsidRPr="00C061E4">
        <w:rPr>
          <w:rFonts w:ascii="Palatino Linotype" w:hAnsi="Palatino Linotype"/>
          <w:i/>
          <w:color w:val="000000"/>
        </w:rPr>
        <w:t>normativo ,</w:t>
      </w:r>
      <w:proofErr w:type="gramEnd"/>
      <w:r w:rsidR="00147E84" w:rsidRPr="00C061E4">
        <w:rPr>
          <w:rFonts w:ascii="Palatino Linotype" w:hAnsi="Palatino Linotype"/>
          <w:i/>
          <w:color w:val="000000"/>
        </w:rPr>
        <w:t xml:space="preserve"> pero no se me otorgo la información solicitada , es </w:t>
      </w:r>
      <w:proofErr w:type="spellStart"/>
      <w:r w:rsidR="00147E84" w:rsidRPr="00C061E4">
        <w:rPr>
          <w:rFonts w:ascii="Palatino Linotype" w:hAnsi="Palatino Linotype"/>
          <w:i/>
          <w:color w:val="000000"/>
        </w:rPr>
        <w:t>to</w:t>
      </w:r>
      <w:proofErr w:type="spellEnd"/>
      <w:r w:rsidR="00147E84" w:rsidRPr="00C061E4">
        <w:rPr>
          <w:rFonts w:ascii="Palatino Linotype" w:hAnsi="Palatino Linotype"/>
          <w:i/>
          <w:color w:val="000000"/>
        </w:rPr>
        <w:t xml:space="preserve"> es solicite el nombre del servidor </w:t>
      </w:r>
      <w:proofErr w:type="spellStart"/>
      <w:r w:rsidR="00147E84" w:rsidRPr="00C061E4">
        <w:rPr>
          <w:rFonts w:ascii="Palatino Linotype" w:hAnsi="Palatino Linotype"/>
          <w:i/>
          <w:color w:val="000000"/>
        </w:rPr>
        <w:t>publico</w:t>
      </w:r>
      <w:proofErr w:type="spellEnd"/>
      <w:r w:rsidR="00147E84" w:rsidRPr="00C061E4">
        <w:rPr>
          <w:rFonts w:ascii="Palatino Linotype" w:hAnsi="Palatino Linotype"/>
          <w:i/>
          <w:color w:val="000000"/>
        </w:rPr>
        <w:t xml:space="preserve"> que firma los permisos para un puesto de tacos, pero solo se me </w:t>
      </w:r>
      <w:proofErr w:type="spellStart"/>
      <w:r w:rsidR="00147E84" w:rsidRPr="00C061E4">
        <w:rPr>
          <w:rFonts w:ascii="Palatino Linotype" w:hAnsi="Palatino Linotype"/>
          <w:i/>
          <w:color w:val="000000"/>
        </w:rPr>
        <w:t>otrogo</w:t>
      </w:r>
      <w:proofErr w:type="spellEnd"/>
      <w:r w:rsidR="00147E84" w:rsidRPr="00C061E4">
        <w:rPr>
          <w:rFonts w:ascii="Palatino Linotype" w:hAnsi="Palatino Linotype"/>
          <w:i/>
          <w:color w:val="000000"/>
        </w:rPr>
        <w:t xml:space="preserve"> el cargo , siendo omisa la autoridad en dar el nombre </w:t>
      </w:r>
      <w:proofErr w:type="spellStart"/>
      <w:r w:rsidR="00147E84" w:rsidRPr="00C061E4">
        <w:rPr>
          <w:rFonts w:ascii="Palatino Linotype" w:hAnsi="Palatino Linotype"/>
          <w:i/>
          <w:color w:val="000000"/>
        </w:rPr>
        <w:t>des</w:t>
      </w:r>
      <w:proofErr w:type="spellEnd"/>
      <w:r w:rsidR="00147E84" w:rsidRPr="00C061E4">
        <w:rPr>
          <w:rFonts w:ascii="Palatino Linotype" w:hAnsi="Palatino Linotype"/>
          <w:i/>
          <w:color w:val="000000"/>
        </w:rPr>
        <w:t xml:space="preserve"> servidor </w:t>
      </w:r>
      <w:proofErr w:type="spellStart"/>
      <w:r w:rsidR="00147E84" w:rsidRPr="00C061E4">
        <w:rPr>
          <w:rFonts w:ascii="Palatino Linotype" w:hAnsi="Palatino Linotype"/>
          <w:i/>
          <w:color w:val="000000"/>
        </w:rPr>
        <w:t>publico</w:t>
      </w:r>
      <w:proofErr w:type="spellEnd"/>
      <w:r w:rsidR="00147E84" w:rsidRPr="0048616B">
        <w:rPr>
          <w:rFonts w:ascii="Palatino Linotype" w:hAnsi="Palatino Linotype" w:cs="Arial"/>
          <w:i/>
          <w:sz w:val="24"/>
          <w:szCs w:val="24"/>
        </w:rPr>
        <w:t xml:space="preserve"> </w:t>
      </w:r>
      <w:r w:rsidRPr="0048616B">
        <w:rPr>
          <w:rFonts w:ascii="Palatino Linotype" w:hAnsi="Palatino Linotype" w:cs="Arial"/>
          <w:i/>
          <w:sz w:val="24"/>
          <w:szCs w:val="24"/>
        </w:rPr>
        <w:t>(</w:t>
      </w:r>
      <w:r w:rsidR="00FC2009" w:rsidRPr="0048616B">
        <w:rPr>
          <w:rFonts w:ascii="Palatino Linotype" w:hAnsi="Palatino Linotype" w:cs="Arial"/>
          <w:i/>
          <w:sz w:val="24"/>
          <w:szCs w:val="24"/>
        </w:rPr>
        <w:t>Sic)</w:t>
      </w:r>
    </w:p>
    <w:p w:rsidR="0048616B" w:rsidRPr="0048616B" w:rsidRDefault="0048616B" w:rsidP="0048616B">
      <w:pPr>
        <w:spacing w:after="0" w:line="360" w:lineRule="auto"/>
        <w:ind w:left="1134" w:right="850"/>
        <w:jc w:val="both"/>
        <w:rPr>
          <w:rFonts w:ascii="Palatino Linotype" w:hAnsi="Palatino Linotype" w:cs="Arial"/>
          <w:i/>
          <w:sz w:val="24"/>
          <w:szCs w:val="24"/>
        </w:rPr>
      </w:pPr>
    </w:p>
    <w:p w:rsidR="00FC2009" w:rsidRPr="0048616B" w:rsidRDefault="00FC2009" w:rsidP="0048616B">
      <w:pPr>
        <w:spacing w:after="0" w:line="360" w:lineRule="auto"/>
        <w:ind w:left="709"/>
        <w:jc w:val="both"/>
        <w:rPr>
          <w:rFonts w:ascii="Palatino Linotype" w:hAnsi="Palatino Linotype" w:cs="Arial"/>
          <w:sz w:val="24"/>
          <w:szCs w:val="24"/>
        </w:rPr>
      </w:pPr>
      <w:r w:rsidRPr="0048616B">
        <w:rPr>
          <w:rFonts w:ascii="Palatino Linotype" w:hAnsi="Palatino Linotype" w:cs="Arial"/>
          <w:b/>
          <w:sz w:val="24"/>
          <w:szCs w:val="24"/>
        </w:rPr>
        <w:t>Razones o Motivos de Inconformidad</w:t>
      </w:r>
      <w:r w:rsidRPr="0048616B">
        <w:rPr>
          <w:rFonts w:ascii="Palatino Linotype" w:hAnsi="Palatino Linotype" w:cs="Arial"/>
          <w:sz w:val="24"/>
          <w:szCs w:val="24"/>
        </w:rPr>
        <w:t xml:space="preserve">: </w:t>
      </w:r>
    </w:p>
    <w:p w:rsidR="00FC2009" w:rsidRDefault="00147E84" w:rsidP="0048616B">
      <w:pPr>
        <w:spacing w:after="0" w:line="360" w:lineRule="auto"/>
        <w:ind w:left="1134" w:right="850"/>
        <w:jc w:val="both"/>
        <w:rPr>
          <w:rFonts w:ascii="Palatino Linotype" w:hAnsi="Palatino Linotype" w:cs="Arial"/>
          <w:i/>
          <w:sz w:val="24"/>
          <w:szCs w:val="24"/>
        </w:rPr>
      </w:pPr>
      <w:r>
        <w:rPr>
          <w:rFonts w:ascii="Palatino Linotype" w:hAnsi="Palatino Linotype"/>
          <w:i/>
          <w:color w:val="000000"/>
        </w:rPr>
        <w:t>“S</w:t>
      </w:r>
      <w:r w:rsidRPr="00C061E4">
        <w:rPr>
          <w:rFonts w:ascii="Palatino Linotype" w:hAnsi="Palatino Linotype"/>
          <w:i/>
          <w:color w:val="000000"/>
        </w:rPr>
        <w:t xml:space="preserve">olicite el marco </w:t>
      </w:r>
      <w:proofErr w:type="gramStart"/>
      <w:r w:rsidRPr="00C061E4">
        <w:rPr>
          <w:rFonts w:ascii="Palatino Linotype" w:hAnsi="Palatino Linotype"/>
          <w:i/>
          <w:color w:val="000000"/>
        </w:rPr>
        <w:t>normativo ,</w:t>
      </w:r>
      <w:proofErr w:type="gramEnd"/>
      <w:r w:rsidRPr="00C061E4">
        <w:rPr>
          <w:rFonts w:ascii="Palatino Linotype" w:hAnsi="Palatino Linotype"/>
          <w:i/>
          <w:color w:val="000000"/>
        </w:rPr>
        <w:t xml:space="preserve"> pero no se me otorgo la información solicitada , es </w:t>
      </w:r>
      <w:proofErr w:type="spellStart"/>
      <w:r w:rsidRPr="00C061E4">
        <w:rPr>
          <w:rFonts w:ascii="Palatino Linotype" w:hAnsi="Palatino Linotype"/>
          <w:i/>
          <w:color w:val="000000"/>
        </w:rPr>
        <w:t>to</w:t>
      </w:r>
      <w:proofErr w:type="spellEnd"/>
      <w:r w:rsidRPr="00C061E4">
        <w:rPr>
          <w:rFonts w:ascii="Palatino Linotype" w:hAnsi="Palatino Linotype"/>
          <w:i/>
          <w:color w:val="000000"/>
        </w:rPr>
        <w:t xml:space="preserve"> es solicite el nombre del servidor </w:t>
      </w:r>
      <w:proofErr w:type="spellStart"/>
      <w:r w:rsidRPr="00C061E4">
        <w:rPr>
          <w:rFonts w:ascii="Palatino Linotype" w:hAnsi="Palatino Linotype"/>
          <w:i/>
          <w:color w:val="000000"/>
        </w:rPr>
        <w:t>publico</w:t>
      </w:r>
      <w:proofErr w:type="spellEnd"/>
      <w:r w:rsidRPr="00C061E4">
        <w:rPr>
          <w:rFonts w:ascii="Palatino Linotype" w:hAnsi="Palatino Linotype"/>
          <w:i/>
          <w:color w:val="000000"/>
        </w:rPr>
        <w:t xml:space="preserve"> que firma los permisos para un puesto de tacos, pero solo se me </w:t>
      </w:r>
      <w:proofErr w:type="spellStart"/>
      <w:r w:rsidRPr="00C061E4">
        <w:rPr>
          <w:rFonts w:ascii="Palatino Linotype" w:hAnsi="Palatino Linotype"/>
          <w:i/>
          <w:color w:val="000000"/>
        </w:rPr>
        <w:t>otrogo</w:t>
      </w:r>
      <w:proofErr w:type="spellEnd"/>
      <w:r w:rsidRPr="00C061E4">
        <w:rPr>
          <w:rFonts w:ascii="Palatino Linotype" w:hAnsi="Palatino Linotype"/>
          <w:i/>
          <w:color w:val="000000"/>
        </w:rPr>
        <w:t xml:space="preserve"> el cargo , siendo omisa la autoridad en dar el nombre </w:t>
      </w:r>
      <w:proofErr w:type="spellStart"/>
      <w:r w:rsidRPr="00C061E4">
        <w:rPr>
          <w:rFonts w:ascii="Palatino Linotype" w:hAnsi="Palatino Linotype"/>
          <w:i/>
          <w:color w:val="000000"/>
        </w:rPr>
        <w:t>des</w:t>
      </w:r>
      <w:proofErr w:type="spellEnd"/>
      <w:r w:rsidRPr="00C061E4">
        <w:rPr>
          <w:rFonts w:ascii="Palatino Linotype" w:hAnsi="Palatino Linotype"/>
          <w:i/>
          <w:color w:val="000000"/>
        </w:rPr>
        <w:t xml:space="preserve"> servidor </w:t>
      </w:r>
      <w:proofErr w:type="spellStart"/>
      <w:r w:rsidRPr="00C061E4">
        <w:rPr>
          <w:rFonts w:ascii="Palatino Linotype" w:hAnsi="Palatino Linotype"/>
          <w:i/>
          <w:color w:val="000000"/>
        </w:rPr>
        <w:t>publico</w:t>
      </w:r>
      <w:proofErr w:type="spellEnd"/>
      <w:r w:rsidR="00A10B30" w:rsidRPr="0048616B">
        <w:rPr>
          <w:rFonts w:ascii="Palatino Linotype" w:hAnsi="Palatino Linotype" w:cs="Arial"/>
          <w:i/>
          <w:sz w:val="24"/>
          <w:szCs w:val="24"/>
        </w:rPr>
        <w:t>”</w:t>
      </w:r>
      <w:r w:rsidR="00FC2009" w:rsidRPr="0048616B">
        <w:rPr>
          <w:rFonts w:ascii="Palatino Linotype" w:hAnsi="Palatino Linotype" w:cs="Arial"/>
          <w:i/>
          <w:sz w:val="24"/>
          <w:szCs w:val="24"/>
        </w:rPr>
        <w:t>(Sic)</w:t>
      </w:r>
    </w:p>
    <w:p w:rsidR="00147E84" w:rsidRPr="0048616B" w:rsidRDefault="00147E84" w:rsidP="0048616B">
      <w:pPr>
        <w:spacing w:after="0" w:line="360" w:lineRule="auto"/>
        <w:ind w:left="1134" w:right="850"/>
        <w:jc w:val="both"/>
        <w:rPr>
          <w:rFonts w:ascii="Palatino Linotype" w:hAnsi="Palatino Linotype" w:cs="Arial"/>
          <w:i/>
          <w:sz w:val="24"/>
          <w:szCs w:val="24"/>
        </w:rPr>
      </w:pPr>
    </w:p>
    <w:p w:rsidR="0046491C" w:rsidRPr="00147E84" w:rsidRDefault="00B56CFE" w:rsidP="00B31A3C">
      <w:pPr>
        <w:pStyle w:val="Prrafodelista"/>
        <w:numPr>
          <w:ilvl w:val="0"/>
          <w:numId w:val="1"/>
        </w:numPr>
        <w:spacing w:after="0" w:line="360" w:lineRule="auto"/>
        <w:ind w:left="0" w:right="49" w:firstLine="0"/>
        <w:jc w:val="both"/>
        <w:rPr>
          <w:rFonts w:ascii="Palatino Linotype" w:hAnsi="Palatino Linotype" w:cs="Arial"/>
          <w:i/>
          <w:sz w:val="24"/>
          <w:szCs w:val="24"/>
          <w:lang w:val="es-ES"/>
        </w:rPr>
      </w:pPr>
      <w:r w:rsidRPr="0048616B">
        <w:rPr>
          <w:rFonts w:ascii="Palatino Linotype" w:hAnsi="Palatino Linotype" w:cs="Arial"/>
          <w:sz w:val="24"/>
          <w:szCs w:val="24"/>
        </w:rPr>
        <w:lastRenderedPageBreak/>
        <w:t>E</w:t>
      </w:r>
      <w:r w:rsidR="0046491C" w:rsidRPr="0048616B">
        <w:rPr>
          <w:rFonts w:ascii="Palatino Linotype" w:hAnsi="Palatino Linotype" w:cs="Arial"/>
          <w:sz w:val="24"/>
          <w:szCs w:val="24"/>
        </w:rPr>
        <w:t xml:space="preserve">s de </w:t>
      </w:r>
      <w:r w:rsidR="0046491C" w:rsidRPr="0048616B">
        <w:rPr>
          <w:rFonts w:ascii="Palatino Linotype" w:eastAsia="Times New Roman" w:hAnsi="Palatino Linotype" w:cs="Times New Roman"/>
          <w:color w:val="000000"/>
          <w:sz w:val="24"/>
          <w:szCs w:val="24"/>
          <w:lang w:val="es-ES" w:eastAsia="es-ES"/>
        </w:rPr>
        <w:t>destacar</w:t>
      </w:r>
      <w:r w:rsidRPr="0048616B">
        <w:rPr>
          <w:rFonts w:ascii="Palatino Linotype" w:hAnsi="Palatino Linotype" w:cs="Arial"/>
          <w:sz w:val="24"/>
          <w:szCs w:val="24"/>
        </w:rPr>
        <w:t xml:space="preserve"> </w:t>
      </w:r>
      <w:r w:rsidR="00AE4797" w:rsidRPr="0048616B">
        <w:rPr>
          <w:rFonts w:ascii="Palatino Linotype" w:hAnsi="Palatino Linotype" w:cs="Arial"/>
          <w:sz w:val="24"/>
          <w:szCs w:val="24"/>
        </w:rPr>
        <w:t>que</w:t>
      </w:r>
      <w:r w:rsidRPr="0048616B">
        <w:rPr>
          <w:rFonts w:ascii="Palatino Linotype" w:hAnsi="Palatino Linotype" w:cs="Arial"/>
          <w:sz w:val="24"/>
          <w:szCs w:val="24"/>
        </w:rPr>
        <w:t xml:space="preserve"> </w:t>
      </w:r>
      <w:r w:rsidR="0046491C" w:rsidRPr="0048616B">
        <w:rPr>
          <w:rFonts w:ascii="Palatino Linotype" w:hAnsi="Palatino Linotype" w:cs="Arial"/>
          <w:sz w:val="24"/>
          <w:szCs w:val="24"/>
        </w:rPr>
        <w:t xml:space="preserve">en el estudio y desarrollo de dicha resolución fueron invocados los llamados </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actos consentidos</w:t>
      </w:r>
      <w:r w:rsidR="006D268B" w:rsidRPr="0048616B">
        <w:rPr>
          <w:rFonts w:ascii="Palatino Linotype" w:hAnsi="Palatino Linotype" w:cs="Arial"/>
          <w:sz w:val="24"/>
          <w:szCs w:val="24"/>
        </w:rPr>
        <w:t>”</w:t>
      </w:r>
      <w:r w:rsidR="0046491C" w:rsidRPr="0048616B">
        <w:rPr>
          <w:rFonts w:ascii="Palatino Linotype" w:hAnsi="Palatino Linotype" w:cs="Arial"/>
          <w:sz w:val="24"/>
          <w:szCs w:val="24"/>
        </w:rPr>
        <w:t>, tal y como se observa en las siguientes líneas de la resolución en comento:</w:t>
      </w:r>
    </w:p>
    <w:p w:rsidR="00147E84" w:rsidRDefault="00147E84" w:rsidP="00147E84">
      <w:pPr>
        <w:pStyle w:val="Prrafodelista"/>
        <w:spacing w:before="240" w:after="240" w:line="360" w:lineRule="auto"/>
        <w:ind w:left="360"/>
        <w:jc w:val="both"/>
        <w:rPr>
          <w:rFonts w:ascii="Palatino Linotype" w:hAnsi="Palatino Linotype" w:cs="Arial"/>
          <w:lang w:eastAsia="es-MX"/>
        </w:rPr>
      </w:pPr>
    </w:p>
    <w:p w:rsidR="00147E84" w:rsidRDefault="00147E84" w:rsidP="00147E84">
      <w:pPr>
        <w:pStyle w:val="Prrafodelista"/>
        <w:spacing w:before="240" w:after="240" w:line="360" w:lineRule="auto"/>
        <w:ind w:left="567" w:right="616"/>
        <w:jc w:val="both"/>
        <w:rPr>
          <w:rFonts w:ascii="Palatino Linotype" w:eastAsia="Arial Unicode MS" w:hAnsi="Palatino Linotype" w:cs="Arial"/>
          <w:i/>
        </w:rPr>
      </w:pPr>
      <w:r w:rsidRPr="00147E84">
        <w:rPr>
          <w:rFonts w:ascii="Palatino Linotype" w:hAnsi="Palatino Linotype" w:cs="Arial"/>
          <w:i/>
          <w:lang w:eastAsia="es-MX"/>
        </w:rPr>
        <w:t>De lo que se advierte, que el particular</w:t>
      </w:r>
      <w:r w:rsidRPr="00147E84">
        <w:rPr>
          <w:rFonts w:ascii="Palatino Linotype" w:hAnsi="Palatino Linotype" w:cs="Arial"/>
          <w:i/>
        </w:rPr>
        <w:t xml:space="preserve"> no se inconformó de la respuesta proporcionada </w:t>
      </w:r>
      <w:r w:rsidRPr="00147E84">
        <w:rPr>
          <w:rFonts w:ascii="Palatino Linotype" w:hAnsi="Palatino Linotype" w:cs="Arial"/>
          <w:i/>
          <w:color w:val="222222"/>
          <w:lang w:eastAsia="es-MX"/>
        </w:rPr>
        <w:t xml:space="preserve">a la totalidad de información solicitada y entregada, </w:t>
      </w:r>
      <w:r w:rsidRPr="00147E84">
        <w:rPr>
          <w:rFonts w:ascii="Palatino Linotype" w:hAnsi="Palatino Linotype"/>
          <w:i/>
        </w:rPr>
        <w:t xml:space="preserve">por lo que no pueden producirse efectos jurídicos tendentes  a </w:t>
      </w:r>
      <w:r w:rsidRPr="00147E84">
        <w:rPr>
          <w:rFonts w:ascii="Palatino Linotype" w:eastAsia="Arial Unicode MS" w:hAnsi="Palatino Linotype" w:cs="Arial"/>
          <w:i/>
        </w:rPr>
        <w:t>revocar, confirmar o modificar al inferirse su consentimiento ante la falta de impugnación eficaz.</w:t>
      </w:r>
    </w:p>
    <w:p w:rsidR="00147E84" w:rsidRPr="00147E84" w:rsidRDefault="00147E84" w:rsidP="00147E84">
      <w:pPr>
        <w:pStyle w:val="Prrafodelista"/>
        <w:spacing w:before="240" w:after="240" w:line="360" w:lineRule="auto"/>
        <w:ind w:left="567" w:right="616"/>
        <w:jc w:val="both"/>
        <w:rPr>
          <w:rFonts w:ascii="Palatino Linotype" w:eastAsia="Arial Unicode MS" w:hAnsi="Palatino Linotype" w:cs="Arial"/>
          <w:i/>
        </w:rPr>
      </w:pPr>
    </w:p>
    <w:p w:rsidR="00147E84" w:rsidRDefault="00147E84" w:rsidP="00147E84">
      <w:pPr>
        <w:pStyle w:val="Prrafodelista"/>
        <w:shd w:val="clear" w:color="auto" w:fill="FFFFFF"/>
        <w:spacing w:before="240" w:after="240" w:line="360" w:lineRule="auto"/>
        <w:ind w:left="567" w:right="616"/>
        <w:jc w:val="both"/>
        <w:rPr>
          <w:rFonts w:ascii="Palatino Linotype" w:hAnsi="Palatino Linotype"/>
          <w:i/>
        </w:rPr>
      </w:pPr>
      <w:r w:rsidRPr="00147E84">
        <w:rPr>
          <w:rFonts w:ascii="Palatino Linotype" w:hAnsi="Palatino Linotype" w:cs="Arial"/>
          <w:i/>
          <w:color w:val="222222"/>
          <w:lang w:eastAsia="es-MX"/>
        </w:rPr>
        <w:t>Al respecto, debe tenerse en consideración que de acuerdo con la</w:t>
      </w:r>
      <w:r w:rsidRPr="00147E84">
        <w:rPr>
          <w:rFonts w:ascii="Palatino Linotype" w:hAnsi="Palatino Linotype"/>
          <w:i/>
        </w:rPr>
        <w:t xml:space="preserve"> doctrina hay consentimiento expreso del acto reclamado, cuando directamente se exterioriza que se está de acuerdo o conforme con dicho acto; o cuando media una manifestación de voluntad que entrañe ese consentimiento; y por último, se actualiza el consentimiento tácito del acto reclamado, cuando el medio de impugnación deja de promoverse dentro de los términos que señalan los artículos de ley aplicable.</w:t>
      </w:r>
      <w:r w:rsidRPr="00147E84">
        <w:rPr>
          <w:rStyle w:val="Refdenotaalpie"/>
          <w:rFonts w:ascii="Palatino Linotype" w:hAnsi="Palatino Linotype"/>
          <w:i/>
        </w:rPr>
        <w:footnoteReference w:id="1"/>
      </w:r>
    </w:p>
    <w:p w:rsidR="00147E84" w:rsidRPr="0040233B" w:rsidRDefault="00147E84" w:rsidP="00B31A3C">
      <w:pPr>
        <w:spacing w:before="240" w:after="240" w:line="360" w:lineRule="auto"/>
        <w:ind w:left="567" w:right="616"/>
        <w:jc w:val="both"/>
        <w:rPr>
          <w:rFonts w:ascii="Palatino Linotype" w:hAnsi="Palatino Linotype" w:cs="Arial"/>
        </w:rPr>
      </w:pPr>
      <w:r w:rsidRPr="0040233B">
        <w:rPr>
          <w:rFonts w:ascii="Palatino Linotype" w:eastAsia="Arial Unicode MS" w:hAnsi="Palatino Linotype" w:cs="Arial"/>
        </w:rPr>
        <w:t>Sir</w:t>
      </w:r>
      <w:r w:rsidRPr="0040233B">
        <w:rPr>
          <w:rFonts w:ascii="Palatino Linotype" w:hAnsi="Palatino Linotype" w:cs="Arial"/>
        </w:rPr>
        <w:t xml:space="preserve">ven de apoyo por analogía, la Tesis Jurisprudencial Número 3ª./J.7/91, publicada en el Semanario Judicial de la Federación y su Gaceta bajo el número de registro 174,177 y la </w:t>
      </w:r>
      <w:r w:rsidRPr="0040233B">
        <w:rPr>
          <w:rFonts w:ascii="Palatino Linotype" w:eastAsia="Arial Unicode MS" w:hAnsi="Palatino Linotype" w:cs="Arial"/>
        </w:rPr>
        <w:t xml:space="preserve">tesis jurisprudencial número </w:t>
      </w:r>
      <w:r w:rsidRPr="0040233B">
        <w:rPr>
          <w:rFonts w:ascii="Palatino Linotype" w:hAnsi="Palatino Linotype" w:cs="Arial"/>
        </w:rPr>
        <w:t>176,608 del Semanario Judicial de la Federación y su Gaceta, que establecen lo siguiente:</w:t>
      </w:r>
    </w:p>
    <w:p w:rsidR="00147E84" w:rsidRPr="00222EE7" w:rsidRDefault="00147E84" w:rsidP="00147E84">
      <w:pPr>
        <w:autoSpaceDE w:val="0"/>
        <w:autoSpaceDN w:val="0"/>
        <w:adjustRightInd w:val="0"/>
        <w:spacing w:after="120"/>
        <w:ind w:left="567" w:right="902"/>
        <w:jc w:val="both"/>
        <w:rPr>
          <w:rFonts w:ascii="Palatino Linotype" w:hAnsi="Palatino Linotype" w:cs="Arial"/>
          <w:bCs/>
          <w:i/>
          <w:iCs/>
          <w:sz w:val="20"/>
          <w:szCs w:val="20"/>
        </w:rPr>
      </w:pPr>
      <w:r w:rsidRPr="00222EE7">
        <w:rPr>
          <w:rFonts w:ascii="Palatino Linotype" w:hAnsi="Palatino Linotype" w:cs="Arial"/>
          <w:b/>
          <w:i/>
          <w:sz w:val="20"/>
          <w:szCs w:val="20"/>
        </w:rPr>
        <w:t xml:space="preserve">“REVISIÓN EN AMPARO. LOS RESOLUTIVOS NO COMBATIDOS DEBEN DECLARARSE FIRMES. </w:t>
      </w:r>
      <w:r w:rsidRPr="00222EE7">
        <w:rPr>
          <w:rFonts w:ascii="Palatino Linotype" w:hAnsi="Palatino Linotype" w:cs="Arial"/>
          <w:bCs/>
          <w:i/>
          <w:iCs/>
          <w:sz w:val="20"/>
          <w:szCs w:val="20"/>
          <w:u w:val="single"/>
        </w:rPr>
        <w:t xml:space="preserve">Cuando algún resolutivo de la sentencia impugnada afecta a la </w:t>
      </w:r>
      <w:r w:rsidRPr="00222EE7">
        <w:rPr>
          <w:rFonts w:ascii="Palatino Linotype" w:hAnsi="Palatino Linotype" w:cs="Arial"/>
          <w:bCs/>
          <w:i/>
          <w:iCs/>
          <w:sz w:val="20"/>
          <w:szCs w:val="20"/>
          <w:u w:val="single"/>
        </w:rPr>
        <w:lastRenderedPageBreak/>
        <w:t>recurrente, y ésta no expresa agravio en contra de las consideraciones que le sirven de base, dicho resolutivo debe declararse firme.</w:t>
      </w:r>
      <w:r w:rsidRPr="00222EE7">
        <w:rPr>
          <w:rFonts w:ascii="Palatino Linotype" w:hAnsi="Palatino Linotype" w:cs="Arial"/>
          <w:bCs/>
          <w:i/>
          <w:iCs/>
          <w:sz w:val="20"/>
          <w:szCs w:val="20"/>
        </w:rPr>
        <w:t xml:space="preserve"> Esto es, en el caso referido, no obstante que la materia de la revisión comprende a todos los resolutivos que afectan a la recurrente, </w:t>
      </w:r>
      <w:r w:rsidRPr="00222EE7">
        <w:rPr>
          <w:rFonts w:ascii="Palatino Linotype" w:hAnsi="Palatino Linotype" w:cs="Arial"/>
          <w:bCs/>
          <w:i/>
          <w:iCs/>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222EE7">
        <w:rPr>
          <w:rFonts w:ascii="Palatino Linotype" w:hAnsi="Palatino Linotype" w:cs="Arial"/>
          <w:bCs/>
          <w:i/>
          <w:iCs/>
          <w:sz w:val="20"/>
          <w:szCs w:val="20"/>
        </w:rPr>
        <w:t>.”</w:t>
      </w:r>
    </w:p>
    <w:p w:rsidR="00147E84" w:rsidRPr="00222EE7" w:rsidRDefault="00147E84" w:rsidP="00147E84">
      <w:pPr>
        <w:spacing w:after="120"/>
        <w:ind w:left="567" w:right="902"/>
        <w:jc w:val="both"/>
        <w:rPr>
          <w:rFonts w:ascii="Palatino Linotype" w:hAnsi="Palatino Linotype" w:cs="Arial"/>
          <w:i/>
          <w:sz w:val="20"/>
          <w:szCs w:val="20"/>
        </w:rPr>
      </w:pPr>
      <w:r w:rsidRPr="00222EE7">
        <w:rPr>
          <w:rFonts w:ascii="Palatino Linotype" w:hAnsi="Palatino Linotype" w:cs="Arial"/>
          <w:b/>
          <w:bCs/>
          <w:i/>
          <w:caps/>
          <w:sz w:val="20"/>
          <w:szCs w:val="20"/>
        </w:rPr>
        <w:t xml:space="preserve">“ACTOS CONSENTIDOS. SON LOS QUE NO SE IMPUGNAN MEDIANTE EL RECURSO IDÓNEO. </w:t>
      </w:r>
      <w:r w:rsidRPr="00222EE7">
        <w:rPr>
          <w:rFonts w:ascii="Palatino Linotype" w:hAnsi="Palatino Linotype" w:cs="Arial"/>
          <w:i/>
          <w:sz w:val="20"/>
          <w:szCs w:val="20"/>
          <w:u w:val="single"/>
        </w:rPr>
        <w:t>Debe reputarse como consentido el acto que no se impugnó por el medio establecido por la ley</w:t>
      </w:r>
      <w:r w:rsidRPr="00222EE7">
        <w:rPr>
          <w:rFonts w:ascii="Palatino Linotype" w:hAnsi="Palatino Linotype" w:cs="Arial"/>
          <w:i/>
          <w:sz w:val="20"/>
          <w:szCs w:val="2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47E84" w:rsidRPr="00F43E88" w:rsidRDefault="00147E84" w:rsidP="00147E84">
      <w:pPr>
        <w:shd w:val="clear" w:color="auto" w:fill="FFFFFF"/>
        <w:spacing w:before="240" w:after="240" w:line="360" w:lineRule="auto"/>
        <w:ind w:left="567" w:right="616"/>
        <w:jc w:val="both"/>
        <w:rPr>
          <w:rFonts w:ascii="Palatino Linotype" w:hAnsi="Palatino Linotype" w:cs="Arial"/>
          <w:color w:val="222222"/>
          <w:lang w:eastAsia="es-MX"/>
        </w:rPr>
      </w:pPr>
      <w:r w:rsidRPr="00F43E88">
        <w:rPr>
          <w:rFonts w:ascii="Palatino Linotype" w:hAnsi="Palatino Linotype" w:cs="Arial"/>
          <w:color w:val="222222"/>
          <w:lang w:eastAsia="es-MX"/>
        </w:rPr>
        <w:t>En tal</w:t>
      </w:r>
      <w:r>
        <w:rPr>
          <w:rFonts w:ascii="Palatino Linotype" w:hAnsi="Palatino Linotype" w:cs="Arial"/>
          <w:color w:val="222222"/>
          <w:lang w:eastAsia="es-MX"/>
        </w:rPr>
        <w:t xml:space="preserve"> consideración, y toda vez que </w:t>
      </w:r>
      <w:r w:rsidRPr="00F43E88">
        <w:rPr>
          <w:rFonts w:ascii="Palatino Linotype" w:hAnsi="Palatino Linotype" w:cs="Arial"/>
          <w:color w:val="222222"/>
          <w:lang w:eastAsia="es-MX"/>
        </w:rPr>
        <w:t>l</w:t>
      </w:r>
      <w:r>
        <w:rPr>
          <w:rFonts w:ascii="Palatino Linotype" w:hAnsi="Palatino Linotype" w:cs="Arial"/>
          <w:color w:val="222222"/>
          <w:lang w:eastAsia="es-MX"/>
        </w:rPr>
        <w:t>a</w:t>
      </w:r>
      <w:r w:rsidRPr="00F43E88">
        <w:rPr>
          <w:rFonts w:ascii="Palatino Linotype" w:hAnsi="Palatino Linotype" w:cs="Arial"/>
          <w:color w:val="222222"/>
          <w:lang w:eastAsia="es-MX"/>
        </w:rPr>
        <w:t xml:space="preserve"> </w:t>
      </w:r>
      <w:r w:rsidRPr="00F43E88">
        <w:rPr>
          <w:rFonts w:ascii="Palatino Linotype" w:hAnsi="Palatino Linotype" w:cs="Arial"/>
          <w:b/>
          <w:i/>
          <w:color w:val="222222"/>
          <w:lang w:eastAsia="es-MX"/>
        </w:rPr>
        <w:t xml:space="preserve">Recurrente </w:t>
      </w:r>
      <w:r w:rsidRPr="00F43E88">
        <w:rPr>
          <w:rFonts w:ascii="Palatino Linotype" w:hAnsi="Palatino Linotype" w:cs="Arial"/>
          <w:color w:val="222222"/>
          <w:lang w:eastAsia="es-MX"/>
        </w:rPr>
        <w:t xml:space="preserve">no impugnó en el momento procesal oportuno el pronunciamiento del </w:t>
      </w:r>
      <w:r w:rsidRPr="00F43E88">
        <w:rPr>
          <w:rFonts w:ascii="Palatino Linotype" w:hAnsi="Palatino Linotype" w:cs="Arial"/>
          <w:b/>
          <w:color w:val="222222"/>
          <w:lang w:eastAsia="es-MX"/>
        </w:rPr>
        <w:t xml:space="preserve">Sujeto Obligado, </w:t>
      </w:r>
      <w:r w:rsidRPr="00F43E88">
        <w:rPr>
          <w:rFonts w:ascii="Palatino Linotype" w:hAnsi="Palatino Linotype" w:cs="Arial"/>
          <w:color w:val="222222"/>
          <w:lang w:eastAsia="es-MX"/>
        </w:rPr>
        <w:t>se colige que los extremos de la mismos fueron actos consentidos de manera tacita, ello de conformidad con el artículo 195 fracción IV del Código de Procedimientos Administrativos del Estado de México</w:t>
      </w:r>
      <w:r w:rsidRPr="00F43E88">
        <w:rPr>
          <w:rStyle w:val="Refdenotaalpie"/>
          <w:rFonts w:ascii="Palatino Linotype" w:hAnsi="Palatino Linotype" w:cs="Arial"/>
          <w:color w:val="222222"/>
          <w:lang w:eastAsia="es-MX"/>
        </w:rPr>
        <w:footnoteReference w:id="2"/>
      </w:r>
      <w:r w:rsidRPr="00F43E88">
        <w:rPr>
          <w:rFonts w:ascii="Palatino Linotype" w:hAnsi="Palatino Linotype" w:cs="Arial"/>
          <w:color w:val="222222"/>
          <w:lang w:eastAsia="es-MX"/>
        </w:rPr>
        <w:t xml:space="preserve"> que prevé que es improcedente el recurso </w:t>
      </w:r>
      <w:r w:rsidRPr="00F43E88">
        <w:rPr>
          <w:rFonts w:ascii="Palatino Linotype" w:hAnsi="Palatino Linotype" w:cs="Arial"/>
          <w:i/>
          <w:color w:val="222222"/>
          <w:lang w:eastAsia="es-MX"/>
        </w:rPr>
        <w:t>contra actos consentidos tácitamente</w:t>
      </w:r>
      <w:r w:rsidRPr="00F43E88">
        <w:rPr>
          <w:rFonts w:ascii="Palatino Linotype" w:hAnsi="Palatino Linotype" w:cs="Arial"/>
          <w:color w:val="222222"/>
          <w:lang w:eastAsia="es-MX"/>
        </w:rPr>
        <w:t xml:space="preserve">, </w:t>
      </w:r>
      <w:r>
        <w:rPr>
          <w:rFonts w:ascii="Palatino Linotype" w:hAnsi="Palatino Linotype" w:cs="Arial"/>
          <w:color w:val="222222"/>
          <w:lang w:eastAsia="es-MX"/>
        </w:rPr>
        <w:t>robustece lo dicho</w:t>
      </w:r>
      <w:r w:rsidRPr="00F43E88">
        <w:rPr>
          <w:rFonts w:ascii="Palatino Linotype" w:hAnsi="Palatino Linotype" w:cs="Arial"/>
          <w:color w:val="222222"/>
          <w:lang w:eastAsia="es-MX"/>
        </w:rPr>
        <w:t xml:space="preserve"> la jurisprudencia siguiente:</w:t>
      </w:r>
    </w:p>
    <w:p w:rsidR="00147E84" w:rsidRDefault="00147E84" w:rsidP="00147E84">
      <w:pPr>
        <w:shd w:val="clear" w:color="auto" w:fill="FFFFFF"/>
        <w:spacing w:after="120"/>
        <w:ind w:left="851" w:right="900"/>
        <w:jc w:val="both"/>
        <w:rPr>
          <w:rFonts w:ascii="Palatino Linotype" w:hAnsi="Palatino Linotype" w:cs="Arial"/>
          <w:i/>
          <w:color w:val="222222"/>
          <w:sz w:val="20"/>
          <w:szCs w:val="20"/>
          <w:lang w:eastAsia="es-MX"/>
        </w:rPr>
      </w:pPr>
      <w:r w:rsidRPr="00F43E88">
        <w:rPr>
          <w:rFonts w:ascii="Palatino Linotype" w:hAnsi="Palatino Linotype" w:cs="Arial"/>
          <w:b/>
          <w:bCs/>
          <w:i/>
          <w:iCs/>
          <w:caps/>
          <w:color w:val="222222"/>
          <w:sz w:val="20"/>
          <w:szCs w:val="20"/>
          <w:lang w:eastAsia="es-MX"/>
        </w:rPr>
        <w:t>“</w:t>
      </w:r>
      <w:r w:rsidRPr="00D4321F">
        <w:rPr>
          <w:rFonts w:ascii="Palatino Linotype" w:hAnsi="Palatino Linotype"/>
          <w:b/>
          <w:i/>
          <w:sz w:val="20"/>
          <w:szCs w:val="20"/>
        </w:rPr>
        <w:t xml:space="preserve">CONSENTIMIENTO TÁCITO DEL ACTO RECLAMADO EN AMPARO. ELEMENTOS PARA PRESUMIRLO.- </w:t>
      </w:r>
      <w:r w:rsidRPr="00D4321F">
        <w:rPr>
          <w:rFonts w:ascii="Palatino Linotype" w:hAnsi="Palatino Linotype"/>
          <w:i/>
          <w:sz w:val="20"/>
          <w:szCs w:val="20"/>
        </w:rPr>
        <w:t xml:space="preserve">Atento lo dispuesto en el artículo 73, fracción XII, de la Ley de Amparo, el juicio constitucional es improcedente contra actos consentidos tácitamente, reputando como tales los no reclamados dentro de los plazos establecidos en los artículos 21, 22 y 218 de ese ordenamiento, excepto en los casos consignados expresamente en materia de amparo contra leyes. Esta norma jurídica tiene su explicación y su fundamento racional en esta presunción humana: cuando una persona sufre una afectación con un acto de autoridad y tiene la posibilidad legal de impugnar ese acto en el juicio de amparo dentro de un plazo perentorio determinado, y no obstante </w:t>
      </w:r>
      <w:r w:rsidRPr="00D4321F">
        <w:rPr>
          <w:rFonts w:ascii="Palatino Linotype" w:hAnsi="Palatino Linotype"/>
          <w:i/>
          <w:sz w:val="20"/>
          <w:szCs w:val="20"/>
          <w:u w:val="single"/>
        </w:rPr>
        <w:t xml:space="preserve">deja </w:t>
      </w:r>
      <w:r w:rsidRPr="00D4321F">
        <w:rPr>
          <w:rFonts w:ascii="Palatino Linotype" w:hAnsi="Palatino Linotype"/>
          <w:i/>
          <w:sz w:val="20"/>
          <w:szCs w:val="20"/>
          <w:u w:val="single"/>
        </w:rPr>
        <w:lastRenderedPageBreak/>
        <w:t>pasar el término sin presentar la demanda, esta conducta en tales circunstancias revela conformidad con el acto.</w:t>
      </w:r>
      <w:r w:rsidRPr="00D4321F">
        <w:rPr>
          <w:rFonts w:ascii="Palatino Linotype" w:hAnsi="Palatino Linotype"/>
          <w:i/>
          <w:sz w:val="20"/>
          <w:szCs w:val="20"/>
        </w:rPr>
        <w:t xml:space="preserve"> En el ámbito y para los efectos del amparo, el razonamiento contiene los hechos conocidos siguientes: a) Un acto de autoridad; b) Una persona afectada por tal acto; c) La posibilidad legal para dicha persona de promover el juicio de amparo contra el acto en mención; d) El establecimiento en la ley de un plazo perentorio para el ejercicio de la acción; y e) El transcurso de ese lapso sin haberse presentado la demanda. Todos estos elementos deben concurrir necesariamente para la validez de la presunción, pues la falta de alguno impide la reunión de lo indispensable para estimar el hecho desconocido como una consecuencia lógica y natural de los hechos conocidos. Así, ante la inexistencia del acto de autoridad faltaría el objeto sobre el cual pudiera recaer la acción de consentimiento; si no hubiera una persona afectada faltaría el sujeto de la acción; si la ley no confiere la posibilidad de ocurrir en demanda de la Justicia Federal, la omisión de tal demanda no puede servir de base para estimar la conformidad del afectado con el acto de autoridad, en tanto no pueda encausar su inconformidad por ese medio; y si la ley no fija un plazo perentorio para deducir la acción de amparo o habiéndolo fijado éste no ha transcurrido, la no presentación de la demanda no puede revelar con certeza y claridad la aquiescencia del acto de autoridad en su contenido y consecuencias, al subsistir la posibilidad de entablar la contienda.</w:t>
      </w:r>
      <w:r w:rsidRPr="00F43E88">
        <w:rPr>
          <w:rFonts w:ascii="Palatino Linotype" w:hAnsi="Palatino Linotype" w:cs="Arial"/>
          <w:bCs/>
          <w:i/>
          <w:iCs/>
          <w:color w:val="222222"/>
          <w:sz w:val="20"/>
          <w:szCs w:val="20"/>
          <w:lang w:eastAsia="es-MX"/>
        </w:rPr>
        <w:t>”</w:t>
      </w:r>
      <w:r w:rsidRPr="00F43E88">
        <w:rPr>
          <w:rStyle w:val="Refdenotaalpie"/>
          <w:rFonts w:ascii="Palatino Linotype" w:hAnsi="Palatino Linotype" w:cs="Arial"/>
          <w:i/>
          <w:iCs/>
          <w:color w:val="222222"/>
          <w:sz w:val="20"/>
          <w:szCs w:val="20"/>
          <w:lang w:eastAsia="es-MX"/>
        </w:rPr>
        <w:footnoteReference w:id="3"/>
      </w:r>
    </w:p>
    <w:p w:rsidR="00147E84" w:rsidRPr="00147E84" w:rsidRDefault="00147E84" w:rsidP="00147E84">
      <w:pPr>
        <w:shd w:val="clear" w:color="auto" w:fill="FFFFFF"/>
        <w:spacing w:after="120"/>
        <w:ind w:left="851" w:right="900"/>
        <w:jc w:val="both"/>
        <w:rPr>
          <w:rFonts w:ascii="Palatino Linotype" w:hAnsi="Palatino Linotype" w:cs="Arial"/>
          <w:i/>
          <w:color w:val="222222"/>
          <w:sz w:val="20"/>
          <w:szCs w:val="20"/>
          <w:lang w:eastAsia="es-MX"/>
        </w:rPr>
      </w:pPr>
      <w:r>
        <w:rPr>
          <w:rFonts w:ascii="Palatino Linotype" w:hAnsi="Palatino Linotype" w:cs="Arial"/>
          <w:b/>
          <w:bCs/>
          <w:i/>
          <w:iCs/>
          <w:caps/>
          <w:color w:val="222222"/>
          <w:sz w:val="20"/>
          <w:szCs w:val="20"/>
          <w:lang w:eastAsia="es-MX"/>
        </w:rPr>
        <w:t>(…</w:t>
      </w:r>
      <w:r>
        <w:rPr>
          <w:rFonts w:ascii="Palatino Linotype" w:hAnsi="Palatino Linotype" w:cs="Arial"/>
          <w:i/>
          <w:color w:val="222222"/>
          <w:sz w:val="20"/>
          <w:szCs w:val="20"/>
          <w:lang w:eastAsia="es-MX"/>
        </w:rPr>
        <w:t>)</w:t>
      </w:r>
    </w:p>
    <w:p w:rsidR="00147E84" w:rsidRPr="0048616B" w:rsidRDefault="00147E84" w:rsidP="00147E84">
      <w:pPr>
        <w:pStyle w:val="Prrafodelista"/>
        <w:spacing w:after="0" w:line="360" w:lineRule="auto"/>
        <w:ind w:left="360" w:right="49"/>
        <w:jc w:val="both"/>
        <w:rPr>
          <w:rFonts w:ascii="Palatino Linotype" w:hAnsi="Palatino Linotype" w:cs="Arial"/>
          <w:i/>
          <w:sz w:val="24"/>
          <w:szCs w:val="24"/>
          <w:lang w:val="es-ES"/>
        </w:rPr>
      </w:pPr>
    </w:p>
    <w:p w:rsidR="0095525C"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Derivado de </w:t>
      </w:r>
      <w:r w:rsidRPr="0048616B">
        <w:rPr>
          <w:rFonts w:ascii="Palatino Linotype" w:eastAsia="Times New Roman" w:hAnsi="Palatino Linotype" w:cs="Times New Roman"/>
          <w:color w:val="000000"/>
          <w:sz w:val="24"/>
          <w:szCs w:val="24"/>
          <w:lang w:val="es-ES" w:eastAsia="es-ES"/>
        </w:rPr>
        <w:t>lo</w:t>
      </w:r>
      <w:r w:rsidRPr="0048616B">
        <w:rPr>
          <w:rFonts w:ascii="Palatino Linotype" w:hAnsi="Palatino Linotype" w:cs="Arial"/>
          <w:sz w:val="24"/>
          <w:szCs w:val="24"/>
        </w:rPr>
        <w:t xml:space="preserve"> transcrito con anterioridad, considero que la</w:t>
      </w:r>
      <w:r w:rsidR="00260D6C" w:rsidRPr="0048616B">
        <w:rPr>
          <w:rFonts w:ascii="Palatino Linotype" w:hAnsi="Palatino Linotype" w:cs="Arial"/>
          <w:sz w:val="24"/>
          <w:szCs w:val="24"/>
        </w:rPr>
        <w:t xml:space="preserve"> incorporación de dicho argumento</w:t>
      </w:r>
      <w:r w:rsidRPr="0048616B">
        <w:rPr>
          <w:rFonts w:ascii="Palatino Linotype" w:hAnsi="Palatino Linotype" w:cs="Arial"/>
          <w:sz w:val="24"/>
          <w:szCs w:val="24"/>
        </w:rPr>
        <w:t xml:space="preserve"> en la resolución en comento resulta a todas luces innecesari</w:t>
      </w:r>
      <w:r w:rsidR="00E61AB8" w:rsidRPr="0048616B">
        <w:rPr>
          <w:rFonts w:ascii="Palatino Linotype" w:hAnsi="Palatino Linotype" w:cs="Arial"/>
          <w:sz w:val="24"/>
          <w:szCs w:val="24"/>
        </w:rPr>
        <w:t xml:space="preserve">o y además no da </w:t>
      </w:r>
      <w:r w:rsidRPr="0048616B">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Pr="0048616B" w:rsidRDefault="00FE5690" w:rsidP="0048616B">
      <w:pPr>
        <w:pStyle w:val="Prrafodelista"/>
        <w:spacing w:after="0" w:line="360" w:lineRule="auto"/>
        <w:ind w:left="360" w:right="49"/>
        <w:jc w:val="both"/>
        <w:rPr>
          <w:rFonts w:ascii="Palatino Linotype" w:hAnsi="Palatino Linotype" w:cs="Arial"/>
          <w:sz w:val="24"/>
          <w:szCs w:val="24"/>
        </w:rPr>
      </w:pPr>
    </w:p>
    <w:p w:rsidR="0046491C" w:rsidRPr="0048616B" w:rsidRDefault="0046491C" w:rsidP="0048616B">
      <w:pPr>
        <w:pStyle w:val="Ttulo1"/>
        <w:numPr>
          <w:ilvl w:val="0"/>
          <w:numId w:val="12"/>
        </w:numPr>
        <w:spacing w:before="0" w:line="360" w:lineRule="auto"/>
        <w:rPr>
          <w:rFonts w:ascii="Palatino Linotype" w:hAnsi="Palatino Linotype"/>
          <w:b/>
          <w:color w:val="auto"/>
          <w:sz w:val="24"/>
          <w:szCs w:val="24"/>
        </w:rPr>
      </w:pPr>
      <w:bookmarkStart w:id="2" w:name="_Toc526153520"/>
      <w:r w:rsidRPr="0048616B">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48616B" w:rsidRDefault="0046491C" w:rsidP="0048616B">
      <w:pPr>
        <w:pStyle w:val="Prrafodelista"/>
        <w:spacing w:after="0" w:line="360" w:lineRule="auto"/>
        <w:ind w:left="1080"/>
        <w:jc w:val="both"/>
        <w:rPr>
          <w:rFonts w:ascii="Palatino Linotype" w:hAnsi="Palatino Linotype" w:cs="Arial"/>
          <w:b/>
          <w:sz w:val="24"/>
          <w:szCs w:val="24"/>
        </w:rPr>
      </w:pPr>
    </w:p>
    <w:p w:rsidR="009C43B4"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eastAsia="Calibri" w:hAnsi="Palatino Linotype" w:cs="Times New Roman"/>
          <w:sz w:val="24"/>
          <w:szCs w:val="24"/>
          <w:lang w:val="es-ES" w:eastAsia="es-ES"/>
        </w:rPr>
        <w:t>En</w:t>
      </w:r>
      <w:r w:rsidRPr="0048616B">
        <w:rPr>
          <w:rFonts w:ascii="Palatino Linotype" w:hAnsi="Palatino Linotype" w:cs="Arial"/>
          <w:sz w:val="24"/>
          <w:szCs w:val="24"/>
        </w:rPr>
        <w:t xml:space="preserve"> la resolución se precisa, un criterio </w:t>
      </w:r>
      <w:r w:rsidR="00260D6C" w:rsidRPr="0048616B">
        <w:rPr>
          <w:rFonts w:ascii="Palatino Linotype" w:hAnsi="Palatino Linotype" w:cs="Arial"/>
          <w:sz w:val="24"/>
          <w:szCs w:val="24"/>
        </w:rPr>
        <w:t>denominado</w:t>
      </w:r>
      <w:r w:rsidR="009C43B4" w:rsidRPr="0048616B">
        <w:rPr>
          <w:rFonts w:ascii="Palatino Linotype" w:hAnsi="Palatino Linotype" w:cs="Arial"/>
          <w:sz w:val="24"/>
          <w:szCs w:val="24"/>
        </w:rPr>
        <w:t xml:space="preserve"> actos consentidos, a</w:t>
      </w:r>
      <w:r w:rsidRPr="0048616B">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48616B">
        <w:rPr>
          <w:rFonts w:ascii="Palatino Linotype" w:hAnsi="Palatino Linotype" w:cs="Arial"/>
          <w:b/>
          <w:sz w:val="24"/>
          <w:szCs w:val="24"/>
        </w:rPr>
        <w:t>acudir a un profesionista del derecho</w:t>
      </w:r>
      <w:r w:rsidRPr="0048616B">
        <w:rPr>
          <w:rFonts w:ascii="Palatino Linotype" w:hAnsi="Palatino Linotype" w:cs="Arial"/>
          <w:sz w:val="24"/>
          <w:szCs w:val="24"/>
        </w:rPr>
        <w:t xml:space="preserve"> para que le asista en la elaboración de su promoción; contrario a ello, nuestro sistema pretende asistirle </w:t>
      </w:r>
      <w:r w:rsidR="009C43B4" w:rsidRPr="0048616B">
        <w:rPr>
          <w:rFonts w:ascii="Palatino Linotype" w:hAnsi="Palatino Linotype" w:cs="Arial"/>
          <w:sz w:val="24"/>
          <w:szCs w:val="24"/>
        </w:rPr>
        <w:t>y facilitarle el procedimiento.</w:t>
      </w:r>
    </w:p>
    <w:p w:rsidR="009C43B4" w:rsidRPr="0048616B" w:rsidRDefault="009C43B4" w:rsidP="00B31A3C">
      <w:pPr>
        <w:pStyle w:val="Prrafodelista"/>
        <w:spacing w:after="0" w:line="360" w:lineRule="auto"/>
        <w:ind w:left="0" w:right="49"/>
        <w:jc w:val="both"/>
        <w:rPr>
          <w:rFonts w:ascii="Palatino Linotype" w:hAnsi="Palatino Linotype" w:cs="Arial"/>
          <w:sz w:val="24"/>
          <w:szCs w:val="24"/>
        </w:rPr>
      </w:pPr>
    </w:p>
    <w:p w:rsidR="00546812" w:rsidRPr="0048616B" w:rsidRDefault="009C43B4"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w:t>
      </w:r>
      <w:r w:rsidR="0046491C" w:rsidRPr="0048616B">
        <w:rPr>
          <w:rFonts w:ascii="Palatino Linotype" w:hAnsi="Palatino Linotype" w:cs="Arial"/>
          <w:sz w:val="24"/>
          <w:szCs w:val="24"/>
        </w:rPr>
        <w:t xml:space="preserve">sa flexibilidad se vería seriamente comprometida si este </w:t>
      </w:r>
      <w:r w:rsidR="00FE5690" w:rsidRPr="0048616B">
        <w:rPr>
          <w:rFonts w:ascii="Palatino Linotype" w:hAnsi="Palatino Linotype" w:cs="Arial"/>
          <w:sz w:val="24"/>
          <w:szCs w:val="24"/>
        </w:rPr>
        <w:t xml:space="preserve">Órgano Garante </w:t>
      </w:r>
      <w:r w:rsidR="0046491C" w:rsidRPr="0048616B">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lastRenderedPageBreak/>
        <w:t xml:space="preserve">La figura de la suplencia de la queja, para Héctor </w:t>
      </w:r>
      <w:proofErr w:type="spellStart"/>
      <w:r w:rsidRPr="0048616B">
        <w:rPr>
          <w:rFonts w:ascii="Palatino Linotype" w:hAnsi="Palatino Linotype" w:cs="Arial"/>
          <w:sz w:val="24"/>
          <w:szCs w:val="24"/>
        </w:rPr>
        <w:t>Fix</w:t>
      </w:r>
      <w:proofErr w:type="spellEnd"/>
      <w:r w:rsidRPr="0048616B">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48616B">
        <w:rPr>
          <w:rStyle w:val="Refdenotaalpie"/>
          <w:rFonts w:ascii="Palatino Linotype" w:hAnsi="Palatino Linotype" w:cs="Arial"/>
          <w:sz w:val="24"/>
          <w:szCs w:val="24"/>
        </w:rPr>
        <w:footnoteReference w:id="4"/>
      </w:r>
      <w:r w:rsidRPr="0048616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48616B">
        <w:rPr>
          <w:rStyle w:val="Refdenotaalpie"/>
          <w:rFonts w:ascii="Palatino Linotype" w:hAnsi="Palatino Linotype" w:cs="Arial"/>
          <w:sz w:val="24"/>
          <w:szCs w:val="24"/>
        </w:rPr>
        <w:footnoteReference w:id="5"/>
      </w:r>
      <w:r w:rsidRPr="0048616B">
        <w:rPr>
          <w:rFonts w:ascii="Palatino Linotype" w:hAnsi="Palatino Linotype" w:cs="Arial"/>
          <w:sz w:val="24"/>
          <w:szCs w:val="24"/>
        </w:rPr>
        <w:t xml:space="preserve"> </w:t>
      </w:r>
    </w:p>
    <w:p w:rsidR="0097582C" w:rsidRPr="0048616B" w:rsidRDefault="0097582C"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w:t>
      </w:r>
      <w:r w:rsidRPr="0048616B">
        <w:rPr>
          <w:rFonts w:ascii="Palatino Linotype" w:hAnsi="Palatino Linotype" w:cs="Arial"/>
          <w:sz w:val="24"/>
          <w:szCs w:val="24"/>
        </w:rPr>
        <w:lastRenderedPageBreak/>
        <w:t xml:space="preserve">y convencionalmente reconocido. Por tanto, al tratar directamente con un derecho humano, todas las autoridades nos vemos impuestas del supremo mandato constitucional consistente en la promoción, respeto, protección y </w:t>
      </w:r>
      <w:r w:rsidRPr="0048616B">
        <w:rPr>
          <w:rFonts w:ascii="Palatino Linotype" w:hAnsi="Palatino Linotype" w:cs="Arial"/>
          <w:b/>
          <w:sz w:val="24"/>
          <w:szCs w:val="24"/>
        </w:rPr>
        <w:t>garantía de los derechos humanos</w:t>
      </w:r>
      <w:r w:rsidRPr="0048616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48616B" w:rsidRDefault="00546812" w:rsidP="0048616B">
      <w:pPr>
        <w:pStyle w:val="Prrafodelista"/>
        <w:spacing w:after="0" w:line="360" w:lineRule="auto"/>
        <w:rPr>
          <w:rFonts w:ascii="Palatino Linotype" w:hAnsi="Palatino Linotype" w:cs="Arial"/>
          <w:sz w:val="24"/>
          <w:szCs w:val="24"/>
        </w:rPr>
      </w:pPr>
    </w:p>
    <w:p w:rsidR="0046491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 este sentido el Dr. Miguel Carbonell ha señalado que:</w:t>
      </w:r>
    </w:p>
    <w:p w:rsidR="00B31A3C" w:rsidRPr="00B31A3C" w:rsidRDefault="00B31A3C" w:rsidP="00B31A3C">
      <w:pPr>
        <w:spacing w:after="0" w:line="360" w:lineRule="auto"/>
        <w:ind w:right="49"/>
        <w:jc w:val="both"/>
        <w:rPr>
          <w:rFonts w:ascii="Palatino Linotype" w:hAnsi="Palatino Linotype" w:cs="Arial"/>
          <w:sz w:val="24"/>
          <w:szCs w:val="24"/>
        </w:rPr>
      </w:pPr>
    </w:p>
    <w:p w:rsidR="0046491C" w:rsidRPr="0048616B" w:rsidRDefault="0046491C" w:rsidP="0048616B">
      <w:pPr>
        <w:pStyle w:val="Prrafodelista"/>
        <w:spacing w:after="0" w:line="360" w:lineRule="auto"/>
        <w:ind w:left="709" w:right="474"/>
        <w:jc w:val="both"/>
        <w:rPr>
          <w:rFonts w:ascii="Palatino Linotype" w:hAnsi="Palatino Linotype" w:cs="Arial"/>
          <w:sz w:val="24"/>
          <w:szCs w:val="24"/>
        </w:rPr>
      </w:pPr>
      <w:r w:rsidRPr="0048616B">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48616B">
        <w:rPr>
          <w:rFonts w:ascii="Palatino Linotype" w:hAnsi="Palatino Linotype" w:cs="Arial"/>
          <w:b/>
          <w:sz w:val="24"/>
          <w:szCs w:val="24"/>
        </w:rPr>
        <w:t>considerando que algún nivel de gobierno tenga obligaciones reforzadas hacia ciertos derechos.</w:t>
      </w:r>
      <w:r w:rsidRPr="0048616B">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48616B">
        <w:rPr>
          <w:rFonts w:ascii="Palatino Linotype" w:hAnsi="Palatino Linotype" w:cs="Arial"/>
          <w:b/>
          <w:sz w:val="24"/>
          <w:szCs w:val="24"/>
        </w:rPr>
        <w:t>tomar todas las medidas que sean pertinentes para tutelar y hacer eficaz un derecho</w:t>
      </w:r>
      <w:r w:rsidRPr="0048616B">
        <w:rPr>
          <w:rFonts w:ascii="Palatino Linotype" w:hAnsi="Palatino Linotype" w:cs="Arial"/>
          <w:sz w:val="24"/>
          <w:szCs w:val="24"/>
        </w:rPr>
        <w:t>”.</w:t>
      </w:r>
      <w:r w:rsidRPr="0048616B">
        <w:rPr>
          <w:rStyle w:val="Refdenotaalpie"/>
          <w:rFonts w:ascii="Palatino Linotype" w:hAnsi="Palatino Linotype" w:cs="Arial"/>
          <w:sz w:val="24"/>
          <w:szCs w:val="24"/>
        </w:rPr>
        <w:footnoteReference w:id="6"/>
      </w:r>
    </w:p>
    <w:p w:rsidR="00300B98" w:rsidRPr="0048616B" w:rsidRDefault="00300B98" w:rsidP="0048616B">
      <w:pPr>
        <w:pStyle w:val="Prrafodelista"/>
        <w:spacing w:after="0" w:line="360" w:lineRule="auto"/>
        <w:ind w:left="709" w:right="474"/>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 Por lo que restringir el derecho de acceso a la información pública del particular</w:t>
      </w:r>
      <w:r w:rsidRPr="0048616B">
        <w:rPr>
          <w:rFonts w:ascii="Palatino Linotype" w:hAnsi="Palatino Linotype" w:cs="Arial"/>
          <w:b/>
          <w:sz w:val="24"/>
          <w:szCs w:val="24"/>
        </w:rPr>
        <w:t xml:space="preserve"> </w:t>
      </w:r>
      <w:r w:rsidRPr="0048616B">
        <w:rPr>
          <w:rFonts w:ascii="Palatino Linotype" w:hAnsi="Palatino Linotype" w:cs="Arial"/>
          <w:sz w:val="24"/>
          <w:szCs w:val="24"/>
        </w:rPr>
        <w:t xml:space="preserve">suponiendo en el peor de los casos, que en efecto, no se hubiera ordenado </w:t>
      </w:r>
      <w:r w:rsidR="0093458D" w:rsidRPr="0048616B">
        <w:rPr>
          <w:rFonts w:ascii="Palatino Linotype" w:hAnsi="Palatino Linotype" w:cs="Arial"/>
          <w:sz w:val="24"/>
          <w:szCs w:val="24"/>
        </w:rPr>
        <w:lastRenderedPageBreak/>
        <w:t xml:space="preserve">el acuerdo de clasificación </w:t>
      </w:r>
      <w:r w:rsidRPr="0048616B">
        <w:rPr>
          <w:rFonts w:ascii="Palatino Linotype" w:hAnsi="Palatino Linotype" w:cs="Arial"/>
          <w:sz w:val="24"/>
          <w:szCs w:val="24"/>
        </w:rPr>
        <w:t>por no impugnar la falta de</w:t>
      </w:r>
      <w:r w:rsidR="00CF544D" w:rsidRPr="0048616B">
        <w:rPr>
          <w:rFonts w:ascii="Palatino Linotype" w:hAnsi="Palatino Linotype" w:cs="Arial"/>
          <w:sz w:val="24"/>
          <w:szCs w:val="24"/>
        </w:rPr>
        <w:t xml:space="preserve"> atención de un punto en específico solicitado</w:t>
      </w:r>
      <w:r w:rsidRPr="0048616B">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1455F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sidRPr="0048616B">
        <w:rPr>
          <w:rFonts w:ascii="Palatino Linotype" w:hAnsi="Palatino Linotype" w:cs="Arial"/>
          <w:sz w:val="24"/>
          <w:szCs w:val="24"/>
        </w:rPr>
        <w:t>:</w:t>
      </w:r>
    </w:p>
    <w:p w:rsidR="00147E84" w:rsidRPr="00147E84" w:rsidRDefault="00147E84" w:rsidP="00147E84">
      <w:pPr>
        <w:spacing w:after="0" w:line="360" w:lineRule="auto"/>
        <w:ind w:right="49"/>
        <w:jc w:val="both"/>
        <w:rPr>
          <w:rFonts w:ascii="Palatino Linotype" w:hAnsi="Palatino Linotype" w:cs="Arial"/>
          <w:sz w:val="24"/>
          <w:szCs w:val="24"/>
        </w:rPr>
      </w:pPr>
    </w:p>
    <w:p w:rsidR="00546812" w:rsidRPr="0048616B" w:rsidRDefault="0046491C" w:rsidP="0048616B">
      <w:pPr>
        <w:pStyle w:val="Prrafodelista"/>
        <w:spacing w:after="0" w:line="360" w:lineRule="auto"/>
        <w:ind w:left="851" w:right="1325"/>
        <w:jc w:val="both"/>
        <w:rPr>
          <w:rFonts w:ascii="Palatino Linotype" w:hAnsi="Palatino Linotype" w:cs="Arial"/>
          <w:sz w:val="24"/>
          <w:szCs w:val="24"/>
        </w:rPr>
      </w:pPr>
      <w:r w:rsidRPr="0048616B">
        <w:rPr>
          <w:rFonts w:ascii="Palatino Linotype" w:hAnsi="Palatino Linotype" w:cs="Arial"/>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48616B" w:rsidRDefault="00DA52E0" w:rsidP="0048616B">
      <w:pPr>
        <w:pStyle w:val="Prrafodelista"/>
        <w:spacing w:after="0" w:line="360" w:lineRule="auto"/>
        <w:ind w:left="36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48616B">
        <w:rPr>
          <w:rFonts w:ascii="Palatino Linotype" w:hAnsi="Palatino Linotype" w:cs="Arial"/>
          <w:sz w:val="24"/>
          <w:szCs w:val="24"/>
        </w:rPr>
        <w:t>Cotta</w:t>
      </w:r>
      <w:proofErr w:type="spellEnd"/>
      <w:r w:rsidRPr="0048616B">
        <w:rPr>
          <w:rFonts w:ascii="Palatino Linotype" w:hAnsi="Palatino Linotype" w:cs="Arial"/>
          <w:sz w:val="24"/>
          <w:szCs w:val="24"/>
        </w:rPr>
        <w:t xml:space="preserve"> que “la obligatoriedad de la norma depende de la validez de su justificación, que es, por consiguiente el fundamento de aquella”,</w:t>
      </w:r>
      <w:r w:rsidRPr="0048616B">
        <w:rPr>
          <w:rStyle w:val="Refdenotaalpie"/>
          <w:rFonts w:ascii="Palatino Linotype" w:hAnsi="Palatino Linotype" w:cs="Arial"/>
          <w:sz w:val="24"/>
          <w:szCs w:val="24"/>
        </w:rPr>
        <w:footnoteReference w:id="7"/>
      </w:r>
      <w:r w:rsidRPr="0048616B">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1455FC"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7E84" w:rsidRPr="00147E84" w:rsidRDefault="00147E84" w:rsidP="00147E84">
      <w:pPr>
        <w:spacing w:after="0" w:line="360" w:lineRule="auto"/>
        <w:ind w:right="49"/>
        <w:jc w:val="both"/>
        <w:rPr>
          <w:rFonts w:ascii="Palatino Linotype" w:hAnsi="Palatino Linotype" w:cs="Arial"/>
          <w:sz w:val="24"/>
          <w:szCs w:val="24"/>
        </w:rPr>
      </w:pP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Respetar; </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Proteger;</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Garantizar; y, </w:t>
      </w:r>
    </w:p>
    <w:p w:rsidR="001455FC" w:rsidRPr="0048616B" w:rsidRDefault="0046491C" w:rsidP="0048616B">
      <w:pPr>
        <w:pStyle w:val="Prrafodelista"/>
        <w:numPr>
          <w:ilvl w:val="0"/>
          <w:numId w:val="31"/>
        </w:numPr>
        <w:spacing w:after="0" w:line="360" w:lineRule="auto"/>
        <w:ind w:left="2127" w:right="49"/>
        <w:jc w:val="both"/>
        <w:rPr>
          <w:rFonts w:ascii="Palatino Linotype" w:hAnsi="Palatino Linotype" w:cs="Arial"/>
          <w:sz w:val="24"/>
          <w:szCs w:val="24"/>
        </w:rPr>
      </w:pPr>
      <w:r w:rsidRPr="0048616B">
        <w:rPr>
          <w:rFonts w:ascii="Palatino Linotype" w:hAnsi="Palatino Linotype" w:cs="Arial"/>
          <w:sz w:val="24"/>
          <w:szCs w:val="24"/>
        </w:rPr>
        <w:t xml:space="preserve">Promover los derechos humanos, </w:t>
      </w:r>
    </w:p>
    <w:p w:rsidR="001455FC" w:rsidRPr="0048616B" w:rsidRDefault="001455FC" w:rsidP="0048616B">
      <w:pPr>
        <w:pStyle w:val="Prrafodelista"/>
        <w:spacing w:after="0" w:line="360" w:lineRule="auto"/>
        <w:rPr>
          <w:rFonts w:ascii="Palatino Linotype" w:hAnsi="Palatino Linotype" w:cs="Arial"/>
          <w:sz w:val="24"/>
          <w:szCs w:val="24"/>
        </w:rPr>
      </w:pPr>
    </w:p>
    <w:p w:rsidR="001455FC" w:rsidRPr="0048616B" w:rsidRDefault="001455F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D</w:t>
      </w:r>
      <w:r w:rsidR="0046491C" w:rsidRPr="0048616B">
        <w:rPr>
          <w:rFonts w:ascii="Palatino Linotype" w:hAnsi="Palatino Linotype" w:cs="Arial"/>
          <w:sz w:val="24"/>
          <w:szCs w:val="24"/>
        </w:rPr>
        <w:t xml:space="preserve">e conformidad con los principios rectores de universalidad, interdependencia, indivisibilidad y progresividad. De ahí que para determinar si </w:t>
      </w:r>
      <w:r w:rsidR="0046491C" w:rsidRPr="0048616B">
        <w:rPr>
          <w:rFonts w:ascii="Palatino Linotype" w:hAnsi="Palatino Linotype" w:cs="Arial"/>
          <w:sz w:val="24"/>
          <w:szCs w:val="24"/>
        </w:rPr>
        <w:lastRenderedPageBreak/>
        <w:t xml:space="preserve">una conducta específica de la autoridad importa violación a derechos fundamentales, debe evaluarse si se apega o no a la obligación de protegerlos. Ésta puede caracterizarse como </w:t>
      </w:r>
      <w:r w:rsidR="0046491C" w:rsidRPr="0048616B">
        <w:rPr>
          <w:rFonts w:ascii="Palatino Linotype" w:hAnsi="Palatino Linotype" w:cs="Arial"/>
          <w:b/>
          <w:sz w:val="24"/>
          <w:szCs w:val="24"/>
        </w:rPr>
        <w:t>el deber que tienen los órganos del Estado, dentro del margen de sus atribuciones, de prevenir violaciones a los derechos fundamentales,</w:t>
      </w:r>
      <w:r w:rsidR="0046491C" w:rsidRPr="0048616B">
        <w:rPr>
          <w:rFonts w:ascii="Palatino Linotype" w:hAnsi="Palatino Linotype" w:cs="Arial"/>
          <w:sz w:val="24"/>
          <w:szCs w:val="24"/>
        </w:rPr>
        <w:t xml:space="preserve"> ya sea que provengan de una autoridad o de algún particular y, por ello, </w:t>
      </w:r>
      <w:r w:rsidR="0046491C" w:rsidRPr="0048616B">
        <w:rPr>
          <w:rFonts w:ascii="Palatino Linotype" w:hAnsi="Palatino Linotype" w:cs="Arial"/>
          <w:b/>
          <w:sz w:val="24"/>
          <w:szCs w:val="24"/>
        </w:rPr>
        <w:t>debe contarse</w:t>
      </w:r>
      <w:r w:rsidR="0046491C" w:rsidRPr="0048616B">
        <w:rPr>
          <w:rFonts w:ascii="Palatino Linotype" w:hAnsi="Palatino Linotype" w:cs="Arial"/>
          <w:sz w:val="24"/>
          <w:szCs w:val="24"/>
        </w:rPr>
        <w:t xml:space="preserve"> tanto </w:t>
      </w:r>
      <w:r w:rsidR="0046491C" w:rsidRPr="0048616B">
        <w:rPr>
          <w:rFonts w:ascii="Palatino Linotype" w:hAnsi="Palatino Linotype" w:cs="Arial"/>
          <w:b/>
          <w:sz w:val="24"/>
          <w:szCs w:val="24"/>
        </w:rPr>
        <w:t>con mecanismos</w:t>
      </w:r>
      <w:r w:rsidR="0046491C" w:rsidRPr="0048616B">
        <w:rPr>
          <w:rFonts w:ascii="Palatino Linotype" w:hAnsi="Palatino Linotype" w:cs="Arial"/>
          <w:sz w:val="24"/>
          <w:szCs w:val="24"/>
        </w:rPr>
        <w:t xml:space="preserve"> de vigilancia como </w:t>
      </w:r>
      <w:r w:rsidR="0046491C" w:rsidRPr="0048616B">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48616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Pr="0048616B" w:rsidRDefault="001455FC" w:rsidP="00B31A3C">
      <w:pPr>
        <w:pStyle w:val="Prrafodelista"/>
        <w:spacing w:after="0" w:line="360" w:lineRule="auto"/>
        <w:ind w:left="0" w:right="49"/>
        <w:jc w:val="both"/>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546812" w:rsidRPr="0048616B" w:rsidRDefault="00546812" w:rsidP="00B31A3C">
      <w:pPr>
        <w:pStyle w:val="Prrafodelista"/>
        <w:spacing w:after="0" w:line="360" w:lineRule="auto"/>
        <w:ind w:left="0" w:right="49"/>
        <w:jc w:val="both"/>
        <w:rPr>
          <w:rFonts w:ascii="Palatino Linotype" w:hAnsi="Palatino Linotype" w:cs="Arial"/>
          <w:sz w:val="24"/>
          <w:szCs w:val="24"/>
        </w:rPr>
      </w:pPr>
    </w:p>
    <w:p w:rsidR="00A80A1A"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lastRenderedPageBreak/>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147E84" w:rsidRPr="0048616B">
        <w:rPr>
          <w:rFonts w:ascii="Palatino Linotype" w:hAnsi="Palatino Linotype" w:cs="Arial"/>
          <w:b/>
          <w:sz w:val="24"/>
          <w:szCs w:val="24"/>
        </w:rPr>
        <w:t>Sujetos Obligados</w:t>
      </w:r>
      <w:r w:rsidR="00147E84" w:rsidRPr="0048616B">
        <w:rPr>
          <w:rFonts w:ascii="Palatino Linotype" w:hAnsi="Palatino Linotype" w:cs="Arial"/>
          <w:sz w:val="24"/>
          <w:szCs w:val="24"/>
        </w:rPr>
        <w:t xml:space="preserve"> </w:t>
      </w:r>
      <w:r w:rsidRPr="0048616B">
        <w:rPr>
          <w:rFonts w:ascii="Palatino Linotype" w:hAnsi="Palatino Linotype" w:cs="Arial"/>
          <w:sz w:val="24"/>
          <w:szCs w:val="24"/>
        </w:rPr>
        <w:t xml:space="preserve">sea evidente la falta de alguno de ellos, en ese tenor los particulares se ven impedidos, en los hechos, a acceder a una información que fue solicitada. </w:t>
      </w:r>
    </w:p>
    <w:p w:rsidR="00A80A1A" w:rsidRPr="0048616B" w:rsidRDefault="00A80A1A" w:rsidP="00B31A3C">
      <w:pPr>
        <w:pStyle w:val="Prrafodelista"/>
        <w:spacing w:after="0" w:line="360" w:lineRule="auto"/>
        <w:ind w:left="0"/>
        <w:rPr>
          <w:rFonts w:ascii="Palatino Linotype" w:hAnsi="Palatino Linotype" w:cs="Arial"/>
          <w:sz w:val="24"/>
          <w:szCs w:val="24"/>
        </w:rPr>
      </w:pPr>
    </w:p>
    <w:p w:rsidR="00546812"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48616B" w:rsidRDefault="00546812" w:rsidP="00B31A3C">
      <w:pPr>
        <w:pStyle w:val="Prrafodelista"/>
        <w:spacing w:after="0" w:line="360" w:lineRule="auto"/>
        <w:ind w:left="0"/>
        <w:rPr>
          <w:rFonts w:ascii="Palatino Linotype" w:hAnsi="Palatino Linotype" w:cs="Arial"/>
          <w:sz w:val="24"/>
          <w:szCs w:val="24"/>
        </w:rPr>
      </w:pPr>
    </w:p>
    <w:p w:rsidR="0046491C" w:rsidRPr="0048616B" w:rsidRDefault="0046491C" w:rsidP="00B31A3C">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48616B">
        <w:rPr>
          <w:rFonts w:ascii="Palatino Linotype" w:hAnsi="Palatino Linotype" w:cs="Arial"/>
          <w:sz w:val="24"/>
          <w:szCs w:val="24"/>
        </w:rPr>
        <w:t>procedibilidad</w:t>
      </w:r>
      <w:proofErr w:type="spellEnd"/>
      <w:r w:rsidRPr="0048616B">
        <w:rPr>
          <w:rFonts w:ascii="Palatino Linotype" w:hAnsi="Palatino Linotype" w:cs="Arial"/>
          <w:sz w:val="24"/>
          <w:szCs w:val="24"/>
        </w:rPr>
        <w:t>, ya que en todo momento nos encontramos ante un derecho más alto que, puede considerarse en los siguientes términos:</w:t>
      </w:r>
    </w:p>
    <w:p w:rsidR="0001046D" w:rsidRPr="0048616B" w:rsidRDefault="0001046D" w:rsidP="0048616B">
      <w:pPr>
        <w:pStyle w:val="Prrafodelista"/>
        <w:spacing w:after="0" w:line="360" w:lineRule="auto"/>
        <w:ind w:left="284"/>
        <w:jc w:val="both"/>
        <w:rPr>
          <w:rFonts w:ascii="Palatino Linotype" w:hAnsi="Palatino Linotype" w:cs="Arial"/>
          <w:sz w:val="24"/>
          <w:szCs w:val="24"/>
        </w:rPr>
      </w:pPr>
    </w:p>
    <w:p w:rsidR="0046491C" w:rsidRDefault="0046491C" w:rsidP="0048616B">
      <w:pPr>
        <w:spacing w:after="0" w:line="360" w:lineRule="auto"/>
        <w:ind w:left="1134" w:right="618"/>
        <w:jc w:val="both"/>
        <w:rPr>
          <w:rFonts w:ascii="Palatino Linotype" w:hAnsi="Palatino Linotype" w:cs="Arial"/>
          <w:i/>
          <w:sz w:val="24"/>
          <w:szCs w:val="24"/>
        </w:rPr>
      </w:pPr>
      <w:r w:rsidRPr="0048616B">
        <w:rPr>
          <w:rFonts w:ascii="Palatino Linotype" w:hAnsi="Palatino Linotype" w:cs="Arial"/>
          <w:i/>
          <w:sz w:val="24"/>
          <w:szCs w:val="24"/>
        </w:rPr>
        <w:lastRenderedPageBreak/>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48616B">
        <w:rPr>
          <w:rFonts w:ascii="Palatino Linotype" w:hAnsi="Palatino Linotype" w:cs="Arial"/>
          <w:i/>
          <w:sz w:val="24"/>
          <w:szCs w:val="24"/>
        </w:rPr>
        <w:t>ocasionalidad</w:t>
      </w:r>
      <w:proofErr w:type="spellEnd"/>
      <w:r w:rsidRPr="0048616B">
        <w:rPr>
          <w:rFonts w:ascii="Palatino Linotype" w:hAnsi="Palatino Linotype" w:cs="Arial"/>
          <w:i/>
          <w:sz w:val="24"/>
          <w:szCs w:val="24"/>
        </w:rPr>
        <w:t xml:space="preserve"> de las presiones sociales que se ejercen sobre el mismo”.</w:t>
      </w:r>
      <w:r w:rsidRPr="0048616B">
        <w:rPr>
          <w:rStyle w:val="Refdenotaalpie"/>
          <w:rFonts w:ascii="Palatino Linotype" w:hAnsi="Palatino Linotype" w:cs="Arial"/>
          <w:i/>
          <w:sz w:val="24"/>
          <w:szCs w:val="24"/>
        </w:rPr>
        <w:footnoteReference w:id="8"/>
      </w:r>
    </w:p>
    <w:p w:rsidR="00147E84" w:rsidRPr="0048616B" w:rsidRDefault="00147E84" w:rsidP="0048616B">
      <w:pPr>
        <w:spacing w:after="0" w:line="360" w:lineRule="auto"/>
        <w:ind w:left="1134" w:right="618"/>
        <w:jc w:val="both"/>
        <w:rPr>
          <w:rFonts w:ascii="Palatino Linotype" w:hAnsi="Palatino Linotype" w:cs="Arial"/>
          <w:i/>
          <w:sz w:val="24"/>
          <w:szCs w:val="24"/>
        </w:rPr>
      </w:pPr>
    </w:p>
    <w:p w:rsidR="0046491C" w:rsidRPr="0048616B"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48616B" w:rsidRDefault="0046491C" w:rsidP="00147E84">
      <w:pPr>
        <w:pStyle w:val="Prrafodelista"/>
        <w:spacing w:after="0" w:line="360" w:lineRule="auto"/>
        <w:ind w:left="0"/>
        <w:jc w:val="both"/>
        <w:rPr>
          <w:rFonts w:ascii="Palatino Linotype" w:hAnsi="Palatino Linotype" w:cs="Arial"/>
          <w:sz w:val="24"/>
          <w:szCs w:val="24"/>
        </w:rPr>
      </w:pPr>
    </w:p>
    <w:p w:rsidR="00DE24C8" w:rsidRPr="0048616B"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w:t>
      </w:r>
      <w:r w:rsidRPr="0048616B">
        <w:rPr>
          <w:rFonts w:ascii="Palatino Linotype" w:hAnsi="Palatino Linotype" w:cs="Arial"/>
          <w:sz w:val="24"/>
          <w:szCs w:val="24"/>
        </w:rPr>
        <w:lastRenderedPageBreak/>
        <w:t xml:space="preserve">deben declararse atendidos, pues se infiere que el recurrente ésta conforme con la información entregada al no contravenir la misma”. </w:t>
      </w:r>
    </w:p>
    <w:p w:rsidR="00DE24C8" w:rsidRPr="0048616B" w:rsidRDefault="00DE24C8" w:rsidP="00147E84">
      <w:pPr>
        <w:pStyle w:val="Prrafodelista"/>
        <w:spacing w:after="0" w:line="360" w:lineRule="auto"/>
        <w:ind w:left="0" w:right="49"/>
        <w:jc w:val="both"/>
        <w:rPr>
          <w:rFonts w:ascii="Palatino Linotype" w:hAnsi="Palatino Linotype" w:cs="Arial"/>
          <w:sz w:val="24"/>
          <w:szCs w:val="24"/>
        </w:rPr>
      </w:pPr>
    </w:p>
    <w:p w:rsidR="00DA52E0" w:rsidRPr="00147E84" w:rsidRDefault="0046491C" w:rsidP="00147E84">
      <w:pPr>
        <w:pStyle w:val="Prrafodelista"/>
        <w:numPr>
          <w:ilvl w:val="0"/>
          <w:numId w:val="1"/>
        </w:numPr>
        <w:spacing w:after="0" w:line="360" w:lineRule="auto"/>
        <w:ind w:left="0" w:right="49" w:firstLine="0"/>
        <w:jc w:val="both"/>
        <w:rPr>
          <w:rFonts w:ascii="Palatino Linotype" w:hAnsi="Palatino Linotype" w:cs="Arial"/>
          <w:sz w:val="24"/>
          <w:szCs w:val="24"/>
        </w:rPr>
      </w:pPr>
      <w:r w:rsidRPr="0048616B">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A52E0" w:rsidRDefault="00DA52E0" w:rsidP="0048616B">
      <w:pPr>
        <w:spacing w:after="0" w:line="360" w:lineRule="auto"/>
        <w:contextualSpacing/>
        <w:jc w:val="both"/>
        <w:rPr>
          <w:rFonts w:ascii="Palatino Linotype" w:hAnsi="Palatino Linotype" w:cs="Arial"/>
          <w:color w:val="000000" w:themeColor="text1"/>
          <w:sz w:val="24"/>
          <w:szCs w:val="24"/>
        </w:rPr>
      </w:pPr>
    </w:p>
    <w:p w:rsidR="00B31A3C" w:rsidRDefault="00B31A3C" w:rsidP="0048616B">
      <w:pPr>
        <w:spacing w:after="0" w:line="360" w:lineRule="auto"/>
        <w:contextualSpacing/>
        <w:jc w:val="both"/>
        <w:rPr>
          <w:rFonts w:ascii="Palatino Linotype" w:hAnsi="Palatino Linotype" w:cs="Arial"/>
          <w:color w:val="000000" w:themeColor="text1"/>
          <w:sz w:val="24"/>
          <w:szCs w:val="24"/>
        </w:rPr>
      </w:pPr>
    </w:p>
    <w:p w:rsidR="00B31A3C" w:rsidRPr="0048616B" w:rsidRDefault="00B31A3C" w:rsidP="0048616B">
      <w:pPr>
        <w:spacing w:after="0" w:line="360" w:lineRule="auto"/>
        <w:contextualSpacing/>
        <w:jc w:val="both"/>
        <w:rPr>
          <w:rFonts w:ascii="Palatino Linotype" w:hAnsi="Palatino Linotype" w:cs="Arial"/>
          <w:color w:val="000000" w:themeColor="text1"/>
          <w:sz w:val="24"/>
          <w:szCs w:val="24"/>
        </w:rPr>
      </w:pPr>
    </w:p>
    <w:p w:rsidR="00DA52E0" w:rsidRPr="0048616B" w:rsidRDefault="00DA52E0" w:rsidP="0048616B">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JOSÉ GUADALUPE LUNA HERNÁNDEZ</w:t>
      </w:r>
    </w:p>
    <w:p w:rsidR="00DA52E0" w:rsidRPr="0048616B" w:rsidRDefault="00DA52E0" w:rsidP="0048616B">
      <w:pPr>
        <w:spacing w:after="0" w:line="360" w:lineRule="auto"/>
        <w:jc w:val="center"/>
        <w:rPr>
          <w:rFonts w:ascii="Palatino Linotype" w:eastAsia="Calibri" w:hAnsi="Palatino Linotype" w:cs="Arial"/>
          <w:b/>
          <w:color w:val="000000" w:themeColor="text1"/>
          <w:sz w:val="24"/>
          <w:szCs w:val="24"/>
        </w:rPr>
      </w:pPr>
      <w:r w:rsidRPr="0048616B">
        <w:rPr>
          <w:rFonts w:ascii="Palatino Linotype" w:eastAsia="Calibri" w:hAnsi="Palatino Linotype" w:cs="Arial"/>
          <w:b/>
          <w:color w:val="000000" w:themeColor="text1"/>
          <w:sz w:val="24"/>
          <w:szCs w:val="24"/>
        </w:rPr>
        <w:t>COMISIONADO</w:t>
      </w:r>
    </w:p>
    <w:p w:rsidR="001455FC" w:rsidRDefault="001455FC" w:rsidP="0048616B">
      <w:pPr>
        <w:spacing w:after="0" w:line="360" w:lineRule="auto"/>
        <w:jc w:val="center"/>
        <w:rPr>
          <w:rFonts w:ascii="Palatino Linotype" w:eastAsia="Calibri" w:hAnsi="Palatino Linotype" w:cs="Arial"/>
          <w:b/>
          <w:color w:val="000000" w:themeColor="text1"/>
          <w:sz w:val="24"/>
          <w:szCs w:val="24"/>
        </w:rPr>
      </w:pPr>
    </w:p>
    <w:p w:rsidR="00CC7974" w:rsidRPr="0048616B" w:rsidRDefault="00CC7974" w:rsidP="0048616B">
      <w:pPr>
        <w:spacing w:after="0" w:line="360" w:lineRule="auto"/>
        <w:jc w:val="center"/>
        <w:rPr>
          <w:rFonts w:ascii="Palatino Linotype" w:eastAsia="Calibri" w:hAnsi="Palatino Linotype" w:cs="Arial"/>
          <w:b/>
          <w:color w:val="000000" w:themeColor="text1"/>
          <w:sz w:val="24"/>
          <w:szCs w:val="24"/>
        </w:rPr>
      </w:pPr>
    </w:p>
    <w:p w:rsidR="00DA52E0" w:rsidRPr="0048616B" w:rsidRDefault="00DA52E0" w:rsidP="00B31A3C">
      <w:pPr>
        <w:spacing w:after="0" w:line="360" w:lineRule="auto"/>
        <w:jc w:val="right"/>
        <w:rPr>
          <w:rFonts w:ascii="Palatino Linotype" w:hAnsi="Palatino Linotype"/>
          <w:b/>
          <w:sz w:val="24"/>
          <w:szCs w:val="24"/>
        </w:rPr>
      </w:pPr>
      <w:r w:rsidRPr="0048616B">
        <w:rPr>
          <w:rFonts w:ascii="Palatino Linotype" w:eastAsia="Calibri" w:hAnsi="Palatino Linotype" w:cs="Arial"/>
          <w:b/>
          <w:color w:val="000000" w:themeColor="text1"/>
          <w:sz w:val="24"/>
          <w:szCs w:val="24"/>
        </w:rPr>
        <w:t>JGLH/</w:t>
      </w:r>
      <w:r w:rsidR="00B31A3C">
        <w:rPr>
          <w:rFonts w:ascii="Palatino Linotype" w:eastAsia="Calibri" w:hAnsi="Palatino Linotype" w:cs="Arial"/>
          <w:b/>
          <w:color w:val="000000" w:themeColor="text1"/>
          <w:sz w:val="24"/>
          <w:szCs w:val="24"/>
        </w:rPr>
        <w:t>JTC</w:t>
      </w:r>
      <w:bookmarkStart w:id="3" w:name="_GoBack"/>
      <w:bookmarkEnd w:id="3"/>
    </w:p>
    <w:sectPr w:rsidR="00DA52E0" w:rsidRPr="0048616B" w:rsidSect="0048616B">
      <w:headerReference w:type="even" r:id="rId11"/>
      <w:headerReference w:type="default" r:id="rId12"/>
      <w:footerReference w:type="even" r:id="rId13"/>
      <w:footerReference w:type="default" r:id="rId14"/>
      <w:headerReference w:type="first" r:id="rId15"/>
      <w:footerReference w:type="first" r:id="rId16"/>
      <w:pgSz w:w="12240" w:h="15840" w:code="1"/>
      <w:pgMar w:top="2552" w:right="1701" w:bottom="2552"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005" w:rsidRDefault="00D53005" w:rsidP="00E706DA">
      <w:pPr>
        <w:spacing w:after="0" w:line="240" w:lineRule="auto"/>
      </w:pPr>
      <w:r>
        <w:separator/>
      </w:r>
    </w:p>
  </w:endnote>
  <w:endnote w:type="continuationSeparator" w:id="0">
    <w:p w:rsidR="00D53005" w:rsidRDefault="00D5300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A41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A4190">
              <w:rPr>
                <w:rFonts w:ascii="Palatino Linotype" w:hAnsi="Palatino Linotype"/>
                <w:b/>
                <w:bCs/>
                <w:noProof/>
                <w:sz w:val="20"/>
                <w:szCs w:val="20"/>
              </w:rPr>
              <w:t>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A4190">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2A41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A41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005" w:rsidRDefault="00D53005" w:rsidP="00E706DA">
      <w:pPr>
        <w:spacing w:after="0" w:line="240" w:lineRule="auto"/>
      </w:pPr>
      <w:r>
        <w:separator/>
      </w:r>
    </w:p>
  </w:footnote>
  <w:footnote w:type="continuationSeparator" w:id="0">
    <w:p w:rsidR="00D53005" w:rsidRDefault="00D53005" w:rsidP="00E706DA">
      <w:pPr>
        <w:spacing w:after="0" w:line="240" w:lineRule="auto"/>
      </w:pPr>
      <w:r>
        <w:continuationSeparator/>
      </w:r>
    </w:p>
  </w:footnote>
  <w:footnote w:id="1">
    <w:p w:rsidR="00147E84" w:rsidRPr="00222EE7" w:rsidRDefault="00147E84" w:rsidP="00147E84">
      <w:pPr>
        <w:pStyle w:val="Textonotapie"/>
        <w:jc w:val="both"/>
        <w:rPr>
          <w:sz w:val="16"/>
          <w:szCs w:val="16"/>
        </w:rPr>
      </w:pPr>
      <w:r w:rsidRPr="0062710B">
        <w:rPr>
          <w:rStyle w:val="Refdenotaalpie"/>
          <w:rFonts w:ascii="Palatino Linotype" w:hAnsi="Palatino Linotype"/>
        </w:rPr>
        <w:footnoteRef/>
      </w:r>
      <w:r w:rsidRPr="0062710B">
        <w:rPr>
          <w:rFonts w:ascii="Palatino Linotype" w:hAnsi="Palatino Linotype"/>
        </w:rPr>
        <w:t xml:space="preserve"> </w:t>
      </w:r>
      <w:r w:rsidRPr="00222EE7">
        <w:rPr>
          <w:rFonts w:ascii="Palatino Linotype" w:hAnsi="Palatino Linotype"/>
          <w:sz w:val="16"/>
          <w:szCs w:val="16"/>
        </w:rPr>
        <w:t>Ver criterio del Poder Judicial de la Federación con rubro: ACTOS CONSENTIDOS, NATURALEZA DEL CONSENTIMIENTO EN LOS.</w:t>
      </w:r>
      <w:r>
        <w:rPr>
          <w:rFonts w:ascii="Palatino Linotype" w:hAnsi="Palatino Linotype"/>
          <w:sz w:val="16"/>
          <w:szCs w:val="16"/>
        </w:rPr>
        <w:t xml:space="preserve"> </w:t>
      </w:r>
      <w:r w:rsidRPr="00222EE7">
        <w:rPr>
          <w:rFonts w:ascii="Palatino Linotype" w:hAnsi="Palatino Linotype"/>
          <w:sz w:val="16"/>
          <w:szCs w:val="16"/>
        </w:rPr>
        <w:t>Localización 918176. 13. Sala Auxiliar. Séptima Época. Apéndice 2000. Tomo VI, Común, P.R. SCJN, Pág. 11.</w:t>
      </w:r>
    </w:p>
  </w:footnote>
  <w:footnote w:id="2">
    <w:p w:rsidR="00147E84" w:rsidRPr="00304DB0" w:rsidRDefault="00147E84" w:rsidP="00147E84">
      <w:pPr>
        <w:pStyle w:val="Textonotapie"/>
        <w:jc w:val="both"/>
        <w:rPr>
          <w:sz w:val="16"/>
          <w:szCs w:val="16"/>
        </w:rPr>
      </w:pPr>
      <w:r>
        <w:rPr>
          <w:rStyle w:val="Refdenotaalpie"/>
        </w:rPr>
        <w:footnoteRef/>
      </w:r>
      <w:r>
        <w:t xml:space="preserve"> </w:t>
      </w:r>
      <w:r>
        <w:rPr>
          <w:rFonts w:ascii="Palatino Linotype" w:hAnsi="Palatino Linotype" w:cs="Arial"/>
          <w:color w:val="222222"/>
          <w:sz w:val="16"/>
          <w:szCs w:val="16"/>
          <w:lang w:eastAsia="es-MX"/>
        </w:rPr>
        <w:t>D</w:t>
      </w:r>
      <w:r w:rsidRPr="00304DB0">
        <w:rPr>
          <w:rFonts w:ascii="Palatino Linotype" w:hAnsi="Palatino Linotype" w:cs="Arial"/>
          <w:color w:val="222222"/>
          <w:sz w:val="16"/>
          <w:szCs w:val="16"/>
          <w:lang w:eastAsia="es-MX"/>
        </w:rPr>
        <w:t>e aplicación supletoria en la Ley de la Materia de conformidad con el artículo 195 de la Ley de Transparencia y Acceso a la Información Pública del Estado de México y Municipios</w:t>
      </w:r>
    </w:p>
  </w:footnote>
  <w:footnote w:id="3">
    <w:p w:rsidR="00147E84" w:rsidRPr="00304DB0" w:rsidRDefault="00147E84" w:rsidP="00147E84">
      <w:pPr>
        <w:pStyle w:val="Textonotapie"/>
        <w:jc w:val="both"/>
        <w:rPr>
          <w:sz w:val="16"/>
          <w:szCs w:val="16"/>
        </w:rPr>
      </w:pPr>
      <w:r w:rsidRPr="00304DB0">
        <w:rPr>
          <w:rStyle w:val="Refdenotaalpie"/>
          <w:sz w:val="16"/>
          <w:szCs w:val="16"/>
        </w:rPr>
        <w:footnoteRef/>
      </w:r>
      <w:r w:rsidRPr="00304DB0">
        <w:rPr>
          <w:sz w:val="16"/>
          <w:szCs w:val="16"/>
        </w:rPr>
        <w:t xml:space="preserve"> Localización: 2</w:t>
      </w:r>
      <w:r>
        <w:rPr>
          <w:sz w:val="16"/>
          <w:szCs w:val="16"/>
        </w:rPr>
        <w:t>19,095</w:t>
      </w:r>
      <w:r w:rsidRPr="00304DB0">
        <w:rPr>
          <w:sz w:val="16"/>
          <w:szCs w:val="16"/>
        </w:rPr>
        <w:t xml:space="preserve">.  Tribunales Colegiados de Circuito. Octava Época. Semanario Judicial de la Federación. Tomo </w:t>
      </w:r>
      <w:r>
        <w:rPr>
          <w:sz w:val="16"/>
          <w:szCs w:val="16"/>
        </w:rPr>
        <w:t>IX</w:t>
      </w:r>
      <w:r w:rsidRPr="00304DB0">
        <w:rPr>
          <w:sz w:val="16"/>
          <w:szCs w:val="16"/>
        </w:rPr>
        <w:t xml:space="preserve">, </w:t>
      </w:r>
      <w:r>
        <w:rPr>
          <w:sz w:val="16"/>
          <w:szCs w:val="16"/>
        </w:rPr>
        <w:t>Junio</w:t>
      </w:r>
      <w:r w:rsidRPr="00304DB0">
        <w:rPr>
          <w:sz w:val="16"/>
          <w:szCs w:val="16"/>
        </w:rPr>
        <w:t xml:space="preserve"> de 199</w:t>
      </w:r>
      <w:r>
        <w:rPr>
          <w:sz w:val="16"/>
          <w:szCs w:val="16"/>
        </w:rPr>
        <w:t>2</w:t>
      </w:r>
      <w:r w:rsidRPr="00304DB0">
        <w:rPr>
          <w:sz w:val="16"/>
          <w:szCs w:val="16"/>
        </w:rPr>
        <w:t xml:space="preserve">, Pág. </w:t>
      </w:r>
      <w:r>
        <w:rPr>
          <w:sz w:val="16"/>
          <w:szCs w:val="16"/>
        </w:rPr>
        <w:t>364.</w:t>
      </w:r>
    </w:p>
  </w:footnote>
  <w:footnote w:id="4">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5">
    <w:p w:rsidR="0046491C" w:rsidRDefault="0046491C" w:rsidP="0046491C">
      <w:pPr>
        <w:pStyle w:val="Textonotapie"/>
      </w:pPr>
      <w:r>
        <w:rPr>
          <w:rStyle w:val="Refdenotaalpie"/>
        </w:rPr>
        <w:footnoteRef/>
      </w:r>
      <w:r>
        <w:t xml:space="preserve"> </w:t>
      </w:r>
      <w:r w:rsidRPr="00C775C0">
        <w:rPr>
          <w:i/>
        </w:rPr>
        <w:t>Ibídem</w:t>
      </w:r>
      <w:r>
        <w:t>. Pág. 3594.</w:t>
      </w:r>
    </w:p>
  </w:footnote>
  <w:footnote w:id="6">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7">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8">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A41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A41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A419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A41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4"/>
  </w:num>
  <w:num w:numId="5">
    <w:abstractNumId w:val="18"/>
  </w:num>
  <w:num w:numId="6">
    <w:abstractNumId w:val="20"/>
  </w:num>
  <w:num w:numId="7">
    <w:abstractNumId w:val="26"/>
  </w:num>
  <w:num w:numId="8">
    <w:abstractNumId w:val="25"/>
  </w:num>
  <w:num w:numId="9">
    <w:abstractNumId w:val="30"/>
  </w:num>
  <w:num w:numId="10">
    <w:abstractNumId w:val="3"/>
  </w:num>
  <w:num w:numId="11">
    <w:abstractNumId w:val="29"/>
  </w:num>
  <w:num w:numId="12">
    <w:abstractNumId w:val="12"/>
  </w:num>
  <w:num w:numId="13">
    <w:abstractNumId w:val="5"/>
  </w:num>
  <w:num w:numId="14">
    <w:abstractNumId w:val="9"/>
  </w:num>
  <w:num w:numId="15">
    <w:abstractNumId w:val="21"/>
  </w:num>
  <w:num w:numId="16">
    <w:abstractNumId w:val="0"/>
  </w:num>
  <w:num w:numId="17">
    <w:abstractNumId w:val="4"/>
  </w:num>
  <w:num w:numId="18">
    <w:abstractNumId w:val="33"/>
  </w:num>
  <w:num w:numId="19">
    <w:abstractNumId w:val="7"/>
  </w:num>
  <w:num w:numId="20">
    <w:abstractNumId w:val="24"/>
  </w:num>
  <w:num w:numId="21">
    <w:abstractNumId w:val="17"/>
  </w:num>
  <w:num w:numId="22">
    <w:abstractNumId w:val="16"/>
  </w:num>
  <w:num w:numId="23">
    <w:abstractNumId w:val="6"/>
  </w:num>
  <w:num w:numId="24">
    <w:abstractNumId w:val="15"/>
  </w:num>
  <w:num w:numId="25">
    <w:abstractNumId w:val="27"/>
  </w:num>
  <w:num w:numId="26">
    <w:abstractNumId w:val="22"/>
  </w:num>
  <w:num w:numId="27">
    <w:abstractNumId w:val="1"/>
  </w:num>
  <w:num w:numId="28">
    <w:abstractNumId w:val="32"/>
  </w:num>
  <w:num w:numId="29">
    <w:abstractNumId w:val="13"/>
  </w:num>
  <w:num w:numId="30">
    <w:abstractNumId w:val="23"/>
  </w:num>
  <w:num w:numId="31">
    <w:abstractNumId w:val="8"/>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6605E"/>
    <w:rsid w:val="00072966"/>
    <w:rsid w:val="00073F0D"/>
    <w:rsid w:val="000765C4"/>
    <w:rsid w:val="000810AB"/>
    <w:rsid w:val="000951B4"/>
    <w:rsid w:val="000A3369"/>
    <w:rsid w:val="000A77B5"/>
    <w:rsid w:val="000A7B66"/>
    <w:rsid w:val="000B2003"/>
    <w:rsid w:val="000B7C6E"/>
    <w:rsid w:val="000D7900"/>
    <w:rsid w:val="000F6CBB"/>
    <w:rsid w:val="00122625"/>
    <w:rsid w:val="00143343"/>
    <w:rsid w:val="001455FC"/>
    <w:rsid w:val="00147E84"/>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779B4"/>
    <w:rsid w:val="00281310"/>
    <w:rsid w:val="002A4190"/>
    <w:rsid w:val="002C0734"/>
    <w:rsid w:val="002C1F75"/>
    <w:rsid w:val="002D4C34"/>
    <w:rsid w:val="002F000B"/>
    <w:rsid w:val="00300B98"/>
    <w:rsid w:val="00346DBD"/>
    <w:rsid w:val="00367E00"/>
    <w:rsid w:val="003705BB"/>
    <w:rsid w:val="003747A5"/>
    <w:rsid w:val="003C7100"/>
    <w:rsid w:val="003C7244"/>
    <w:rsid w:val="003C780E"/>
    <w:rsid w:val="003D7B9E"/>
    <w:rsid w:val="0040354A"/>
    <w:rsid w:val="00412952"/>
    <w:rsid w:val="0042345D"/>
    <w:rsid w:val="00424DE3"/>
    <w:rsid w:val="00444048"/>
    <w:rsid w:val="0046491C"/>
    <w:rsid w:val="004802BA"/>
    <w:rsid w:val="0048490F"/>
    <w:rsid w:val="0048616B"/>
    <w:rsid w:val="0049058E"/>
    <w:rsid w:val="00532410"/>
    <w:rsid w:val="00546812"/>
    <w:rsid w:val="005527D5"/>
    <w:rsid w:val="00556B00"/>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70016"/>
    <w:rsid w:val="007879C6"/>
    <w:rsid w:val="00790E37"/>
    <w:rsid w:val="007A378A"/>
    <w:rsid w:val="007A7FAD"/>
    <w:rsid w:val="007E3EA9"/>
    <w:rsid w:val="00814A43"/>
    <w:rsid w:val="00814E97"/>
    <w:rsid w:val="008361CA"/>
    <w:rsid w:val="008370F1"/>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5525C"/>
    <w:rsid w:val="0097582C"/>
    <w:rsid w:val="00987663"/>
    <w:rsid w:val="009C43B4"/>
    <w:rsid w:val="009C4EF6"/>
    <w:rsid w:val="00A07EF4"/>
    <w:rsid w:val="00A10B30"/>
    <w:rsid w:val="00A26E97"/>
    <w:rsid w:val="00A31633"/>
    <w:rsid w:val="00A54D9D"/>
    <w:rsid w:val="00A626F8"/>
    <w:rsid w:val="00A63717"/>
    <w:rsid w:val="00A80A1A"/>
    <w:rsid w:val="00AA49F3"/>
    <w:rsid w:val="00AB023D"/>
    <w:rsid w:val="00AB126B"/>
    <w:rsid w:val="00AC381E"/>
    <w:rsid w:val="00AC430A"/>
    <w:rsid w:val="00AD16A9"/>
    <w:rsid w:val="00AE4797"/>
    <w:rsid w:val="00B120CA"/>
    <w:rsid w:val="00B31A3C"/>
    <w:rsid w:val="00B56CFE"/>
    <w:rsid w:val="00B674B9"/>
    <w:rsid w:val="00BA3743"/>
    <w:rsid w:val="00BB22FB"/>
    <w:rsid w:val="00BB5E12"/>
    <w:rsid w:val="00BC7B0C"/>
    <w:rsid w:val="00BE555F"/>
    <w:rsid w:val="00BE66A6"/>
    <w:rsid w:val="00BF3534"/>
    <w:rsid w:val="00BF43E0"/>
    <w:rsid w:val="00C33F49"/>
    <w:rsid w:val="00C371B0"/>
    <w:rsid w:val="00C40065"/>
    <w:rsid w:val="00C44341"/>
    <w:rsid w:val="00C56561"/>
    <w:rsid w:val="00C7250F"/>
    <w:rsid w:val="00C74552"/>
    <w:rsid w:val="00CC7974"/>
    <w:rsid w:val="00CE0823"/>
    <w:rsid w:val="00CF544D"/>
    <w:rsid w:val="00D11CB8"/>
    <w:rsid w:val="00D26D87"/>
    <w:rsid w:val="00D33AF9"/>
    <w:rsid w:val="00D363F7"/>
    <w:rsid w:val="00D42526"/>
    <w:rsid w:val="00D447F1"/>
    <w:rsid w:val="00D47536"/>
    <w:rsid w:val="00D53005"/>
    <w:rsid w:val="00D72985"/>
    <w:rsid w:val="00D7456D"/>
    <w:rsid w:val="00D7508B"/>
    <w:rsid w:val="00D76084"/>
    <w:rsid w:val="00DA52E0"/>
    <w:rsid w:val="00DC63EE"/>
    <w:rsid w:val="00DD7604"/>
    <w:rsid w:val="00DD7C56"/>
    <w:rsid w:val="00DE24C8"/>
    <w:rsid w:val="00DF6665"/>
    <w:rsid w:val="00DF6F7E"/>
    <w:rsid w:val="00DF7B12"/>
    <w:rsid w:val="00E26799"/>
    <w:rsid w:val="00E34F08"/>
    <w:rsid w:val="00E41EA1"/>
    <w:rsid w:val="00E61AB8"/>
    <w:rsid w:val="00E706DA"/>
    <w:rsid w:val="00E75DEF"/>
    <w:rsid w:val="00E83E93"/>
    <w:rsid w:val="00E90EB5"/>
    <w:rsid w:val="00E91F07"/>
    <w:rsid w:val="00E94FBF"/>
    <w:rsid w:val="00EA711B"/>
    <w:rsid w:val="00EC772B"/>
    <w:rsid w:val="00EF0C2D"/>
    <w:rsid w:val="00EF6D60"/>
    <w:rsid w:val="00F45161"/>
    <w:rsid w:val="00F46E78"/>
    <w:rsid w:val="00F5642A"/>
    <w:rsid w:val="00F841A1"/>
    <w:rsid w:val="00F857BC"/>
    <w:rsid w:val="00F86F9B"/>
    <w:rsid w:val="00FA59F5"/>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5198.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60520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05200.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4962-3A0F-4E03-BC7A-8B37A51D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3494</Words>
  <Characters>19219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2019-02-15T20:25:00Z</cp:lastPrinted>
  <dcterms:created xsi:type="dcterms:W3CDTF">2019-02-15T20:44:00Z</dcterms:created>
  <dcterms:modified xsi:type="dcterms:W3CDTF">2019-03-29T16:55:00Z</dcterms:modified>
</cp:coreProperties>
</file>